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CF87" w14:textId="5BEA86EC" w:rsidR="00B91EFE" w:rsidRDefault="00B91EFE" w:rsidP="00B91EFE">
      <w:pPr>
        <w:widowControl w:val="0"/>
        <w:pBdr>
          <w:top w:val="nil"/>
          <w:left w:val="nil"/>
          <w:bottom w:val="nil"/>
          <w:right w:val="nil"/>
          <w:between w:val="nil"/>
        </w:pBdr>
        <w:spacing w:line="240" w:lineRule="auto"/>
        <w:ind w:left="1440" w:right="4548"/>
        <w:jc w:val="right"/>
        <w:rPr>
          <w:rFonts w:ascii="Times New Roman" w:eastAsia="Times New Roman" w:hAnsi="Times New Roman" w:cs="Times New Roman"/>
          <w:b/>
          <w:bCs/>
          <w:color w:val="00000A"/>
          <w:sz w:val="23"/>
          <w:szCs w:val="23"/>
        </w:rPr>
      </w:pPr>
      <w:r>
        <w:rPr>
          <w:noProof/>
        </w:rPr>
        <w:drawing>
          <wp:anchor distT="0" distB="0" distL="114300" distR="114300" simplePos="0" relativeHeight="251660288" behindDoc="0" locked="0" layoutInCell="1" allowOverlap="1" wp14:anchorId="4E951A86" wp14:editId="142B61A4">
            <wp:simplePos x="0" y="0"/>
            <wp:positionH relativeFrom="margin">
              <wp:posOffset>5161280</wp:posOffset>
            </wp:positionH>
            <wp:positionV relativeFrom="paragraph">
              <wp:posOffset>0</wp:posOffset>
            </wp:positionV>
            <wp:extent cx="1073150" cy="1066800"/>
            <wp:effectExtent l="0" t="0" r="0" b="0"/>
            <wp:wrapThrough wrapText="bothSides">
              <wp:wrapPolygon edited="0">
                <wp:start x="0" y="0"/>
                <wp:lineTo x="0" y="21214"/>
                <wp:lineTo x="21089" y="21214"/>
                <wp:lineTo x="21089" y="0"/>
                <wp:lineTo x="0" y="0"/>
              </wp:wrapPolygon>
            </wp:wrapThrough>
            <wp:docPr id="5848049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19050" distB="19050" distL="19050" distR="19050" simplePos="0" relativeHeight="251659264" behindDoc="0" locked="0" layoutInCell="1" hidden="0" allowOverlap="1" wp14:anchorId="67B12C3D" wp14:editId="067F6B95">
            <wp:simplePos x="0" y="0"/>
            <wp:positionH relativeFrom="margin">
              <wp:align>left</wp:align>
            </wp:positionH>
            <wp:positionV relativeFrom="paragraph">
              <wp:posOffset>0</wp:posOffset>
            </wp:positionV>
            <wp:extent cx="1200150" cy="1066800"/>
            <wp:effectExtent l="0" t="0" r="0" b="0"/>
            <wp:wrapSquare wrapText="right"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106680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A"/>
          <w:sz w:val="23"/>
          <w:szCs w:val="23"/>
        </w:rPr>
        <w:t xml:space="preserve">I.V.G.T SRL </w:t>
      </w:r>
    </w:p>
    <w:p w14:paraId="3EE33214" w14:textId="017D3EBF" w:rsidR="00B91EFE" w:rsidRDefault="00B91EFE" w:rsidP="00B91EFE">
      <w:pPr>
        <w:widowControl w:val="0"/>
        <w:pBdr>
          <w:top w:val="nil"/>
          <w:left w:val="nil"/>
          <w:bottom w:val="nil"/>
          <w:right w:val="nil"/>
          <w:between w:val="nil"/>
        </w:pBdr>
        <w:spacing w:line="240" w:lineRule="auto"/>
        <w:ind w:left="1440" w:right="2705"/>
        <w:jc w:val="center"/>
        <w:rPr>
          <w:rFonts w:ascii="Times New Roman" w:eastAsia="Times New Roman" w:hAnsi="Times New Roman" w:cs="Times New Roman"/>
          <w:b/>
          <w:bCs/>
          <w:color w:val="00000A"/>
          <w:sz w:val="23"/>
          <w:szCs w:val="23"/>
        </w:rPr>
      </w:pPr>
      <w:r>
        <w:rPr>
          <w:rFonts w:ascii="Times New Roman" w:eastAsia="Times New Roman" w:hAnsi="Times New Roman" w:cs="Times New Roman"/>
          <w:b/>
          <w:bCs/>
          <w:color w:val="00000A"/>
          <w:sz w:val="23"/>
          <w:szCs w:val="23"/>
        </w:rPr>
        <w:t xml:space="preserve">ISTITUTO VENDITE GIUDIZIARE DEL TRENTINO </w:t>
      </w:r>
    </w:p>
    <w:p w14:paraId="2D050069" w14:textId="77777777" w:rsidR="00B91EFE" w:rsidRDefault="00B91EFE" w:rsidP="00B91EFE">
      <w:pPr>
        <w:widowControl w:val="0"/>
        <w:pBdr>
          <w:top w:val="nil"/>
          <w:left w:val="nil"/>
          <w:bottom w:val="nil"/>
          <w:right w:val="nil"/>
          <w:between w:val="nil"/>
        </w:pBdr>
        <w:spacing w:line="240" w:lineRule="auto"/>
        <w:ind w:left="1440" w:right="400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sede operativa: Via Fersina 12/a,  </w:t>
      </w:r>
    </w:p>
    <w:p w14:paraId="33ED7923" w14:textId="77777777" w:rsidR="00B91EFE" w:rsidRDefault="00B91EFE" w:rsidP="00B91EFE">
      <w:pPr>
        <w:widowControl w:val="0"/>
        <w:pBdr>
          <w:top w:val="nil"/>
          <w:left w:val="nil"/>
          <w:bottom w:val="nil"/>
          <w:right w:val="nil"/>
          <w:between w:val="nil"/>
        </w:pBdr>
        <w:spacing w:line="240" w:lineRule="auto"/>
        <w:ind w:right="451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tel. 0461/923082  </w:t>
      </w:r>
    </w:p>
    <w:p w14:paraId="384D0803" w14:textId="07909FDB" w:rsid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c.f. e piva 02239880228 </w:t>
      </w:r>
    </w:p>
    <w:p w14:paraId="64A0C076" w14:textId="77777777" w:rsidR="00B91EFE" w:rsidRP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hyperlink r:id="rId8" w:history="1">
        <w:r w:rsidRPr="00B91EFE">
          <w:rPr>
            <w:rStyle w:val="Collegamentoipertestuale"/>
            <w:rFonts w:ascii="Times New Roman" w:eastAsia="Times New Roman" w:hAnsi="Times New Roman" w:cs="Times New Roman"/>
            <w:sz w:val="18"/>
            <w:szCs w:val="18"/>
          </w:rPr>
          <w:t>ivgtrento@gmail.com</w:t>
        </w:r>
      </w:hyperlink>
    </w:p>
    <w:p w14:paraId="1AB86E68" w14:textId="02576F04" w:rsidR="00B91EFE" w:rsidRDefault="00B91EFE" w:rsidP="00B91EFE">
      <w:pPr>
        <w:widowControl w:val="0"/>
        <w:pBdr>
          <w:top w:val="nil"/>
          <w:left w:val="nil"/>
          <w:bottom w:val="nil"/>
          <w:right w:val="nil"/>
          <w:between w:val="nil"/>
        </w:pBdr>
        <w:spacing w:line="240" w:lineRule="auto"/>
        <w:ind w:right="3059"/>
        <w:jc w:val="center"/>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ivgtrento@associazioneivg.legalmail.it</w:t>
      </w:r>
    </w:p>
    <w:p w14:paraId="6DF6292B" w14:textId="77777777" w:rsidR="00B91EFE" w:rsidRDefault="00B91EFE" w:rsidP="00B91EFE">
      <w:pPr>
        <w:widowControl w:val="0"/>
        <w:pBdr>
          <w:top w:val="nil"/>
          <w:left w:val="nil"/>
          <w:bottom w:val="nil"/>
          <w:right w:val="nil"/>
          <w:between w:val="nil"/>
        </w:pBdr>
        <w:spacing w:line="240" w:lineRule="auto"/>
        <w:ind w:right="4298"/>
        <w:jc w:val="center"/>
        <w:rPr>
          <w:rFonts w:ascii="Times New Roman" w:eastAsia="Times New Roman" w:hAnsi="Times New Roman" w:cs="Times New Roman"/>
          <w:color w:val="00000A"/>
          <w:sz w:val="18"/>
          <w:szCs w:val="18"/>
        </w:rPr>
      </w:pPr>
    </w:p>
    <w:p w14:paraId="4411A996" w14:textId="77777777" w:rsidR="00B91EFE" w:rsidRDefault="00B91EFE" w:rsidP="00E531D8">
      <w:pPr>
        <w:widowControl w:val="0"/>
        <w:pBdr>
          <w:top w:val="nil"/>
          <w:left w:val="nil"/>
          <w:bottom w:val="nil"/>
          <w:right w:val="nil"/>
          <w:between w:val="nil"/>
        </w:pBdr>
        <w:spacing w:before="888" w:line="240" w:lineRule="auto"/>
        <w:ind w:right="393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Tribunale di TRENTO </w:t>
      </w:r>
    </w:p>
    <w:p w14:paraId="74A3AD7D" w14:textId="77777777" w:rsidR="00B91EFE" w:rsidRDefault="00B91EFE" w:rsidP="00B91EFE">
      <w:pPr>
        <w:widowControl w:val="0"/>
        <w:pBdr>
          <w:top w:val="nil"/>
          <w:left w:val="nil"/>
          <w:bottom w:val="nil"/>
          <w:right w:val="nil"/>
          <w:between w:val="nil"/>
        </w:pBdr>
        <w:spacing w:line="240" w:lineRule="auto"/>
        <w:ind w:right="301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Sezione PROCEDURE CONCORSUALI </w:t>
      </w:r>
    </w:p>
    <w:p w14:paraId="464397FC" w14:textId="77777777" w:rsidR="00B91EFE" w:rsidRDefault="00B91EFE" w:rsidP="00B91EFE">
      <w:pPr>
        <w:widowControl w:val="0"/>
        <w:pBdr>
          <w:top w:val="nil"/>
          <w:left w:val="nil"/>
          <w:bottom w:val="nil"/>
          <w:right w:val="nil"/>
          <w:between w:val="nil"/>
        </w:pBdr>
        <w:spacing w:before="658" w:line="240" w:lineRule="auto"/>
        <w:ind w:right="2126"/>
        <w:jc w:val="right"/>
        <w:rPr>
          <w:rFonts w:ascii="Times New Roman" w:eastAsia="Times New Roman" w:hAnsi="Times New Roman" w:cs="Times New Roman"/>
          <w:b/>
          <w:bCs/>
          <w:color w:val="000000"/>
          <w:sz w:val="31"/>
          <w:szCs w:val="31"/>
        </w:rPr>
      </w:pPr>
      <w:r>
        <w:rPr>
          <w:rFonts w:ascii="Times New Roman" w:eastAsia="Times New Roman" w:hAnsi="Times New Roman" w:cs="Times New Roman"/>
          <w:b/>
          <w:bCs/>
          <w:color w:val="000000"/>
          <w:sz w:val="31"/>
          <w:szCs w:val="31"/>
        </w:rPr>
        <w:t xml:space="preserve">LIQUIDAZIONE GIUDIZIALE N. 31/2025 </w:t>
      </w:r>
    </w:p>
    <w:p w14:paraId="2A2A76E4" w14:textId="77777777" w:rsidR="00B91EFE" w:rsidRDefault="00B91EFE" w:rsidP="00B91EFE">
      <w:pPr>
        <w:widowControl w:val="0"/>
        <w:pBdr>
          <w:top w:val="nil"/>
          <w:left w:val="nil"/>
          <w:bottom w:val="nil"/>
          <w:right w:val="nil"/>
          <w:between w:val="nil"/>
        </w:pBdr>
        <w:spacing w:before="189" w:line="240" w:lineRule="auto"/>
        <w:ind w:right="240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GIUDICE DELEGATO: Dott. BENEDETTO SIEFF </w:t>
      </w:r>
    </w:p>
    <w:p w14:paraId="3A1FC239" w14:textId="77777777" w:rsidR="00B91EFE" w:rsidRDefault="00B91EFE" w:rsidP="00B91EFE">
      <w:pPr>
        <w:widowControl w:val="0"/>
        <w:pBdr>
          <w:top w:val="nil"/>
          <w:left w:val="nil"/>
          <w:bottom w:val="nil"/>
          <w:right w:val="nil"/>
          <w:between w:val="nil"/>
        </w:pBdr>
        <w:spacing w:before="178" w:line="240" w:lineRule="auto"/>
        <w:ind w:right="280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LIQUIDATORE: Dott.ssa Patrizia Gentil </w:t>
      </w:r>
    </w:p>
    <w:p w14:paraId="6F6AE3CA" w14:textId="77777777" w:rsidR="00B91EFE" w:rsidRDefault="00B91EFE" w:rsidP="00B91EFE">
      <w:pPr>
        <w:widowControl w:val="0"/>
        <w:pBdr>
          <w:top w:val="nil"/>
          <w:left w:val="nil"/>
          <w:bottom w:val="nil"/>
          <w:right w:val="nil"/>
          <w:between w:val="nil"/>
        </w:pBdr>
        <w:spacing w:before="178" w:line="240" w:lineRule="auto"/>
        <w:ind w:right="2662"/>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DELEGATO ALLA VENDITA: IVG TRENTO </w:t>
      </w:r>
    </w:p>
    <w:p w14:paraId="72B1A97A" w14:textId="77777777" w:rsidR="00B91EFE" w:rsidRDefault="00B91EFE" w:rsidP="00B91EFE">
      <w:pPr>
        <w:widowControl w:val="0"/>
        <w:pBdr>
          <w:top w:val="nil"/>
          <w:left w:val="nil"/>
          <w:bottom w:val="nil"/>
          <w:right w:val="nil"/>
          <w:between w:val="nil"/>
        </w:pBdr>
        <w:spacing w:before="634" w:line="240" w:lineRule="auto"/>
        <w:ind w:right="4579"/>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14:paraId="0B17F187" w14:textId="77777777" w:rsidR="00B91EFE" w:rsidRDefault="00B91EFE" w:rsidP="00B91EFE">
      <w:pPr>
        <w:widowControl w:val="0"/>
        <w:pBdr>
          <w:top w:val="nil"/>
          <w:left w:val="nil"/>
          <w:bottom w:val="nil"/>
          <w:right w:val="nil"/>
          <w:between w:val="nil"/>
        </w:pBdr>
        <w:spacing w:before="780" w:line="240" w:lineRule="auto"/>
        <w:ind w:right="3211"/>
        <w:jc w:val="right"/>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AVVISO DI VENDITA</w:t>
      </w:r>
    </w:p>
    <w:p w14:paraId="30998928" w14:textId="77777777" w:rsidR="00B91EFE" w:rsidRDefault="00B91EFE" w:rsidP="00B91EFE">
      <w:pPr>
        <w:widowControl w:val="0"/>
        <w:pBdr>
          <w:top w:val="nil"/>
          <w:left w:val="nil"/>
          <w:bottom w:val="nil"/>
          <w:right w:val="nil"/>
          <w:between w:val="nil"/>
        </w:pBdr>
        <w:spacing w:before="192" w:line="240" w:lineRule="auto"/>
        <w:ind w:right="402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SINCRONA MISTA</w:t>
      </w:r>
    </w:p>
    <w:p w14:paraId="54E5EF6E" w14:textId="6C2D0902" w:rsidR="00B91EFE" w:rsidRDefault="00954AA6" w:rsidP="00E531D8">
      <w:pPr>
        <w:widowControl w:val="0"/>
        <w:pBdr>
          <w:top w:val="nil"/>
          <w:left w:val="nil"/>
          <w:bottom w:val="nil"/>
          <w:right w:val="nil"/>
          <w:between w:val="nil"/>
        </w:pBdr>
        <w:spacing w:before="634"/>
        <w:ind w:right="239"/>
        <w:jc w:val="both"/>
        <w:rPr>
          <w:rFonts w:ascii="Times New Roman" w:eastAsia="Times New Roman" w:hAnsi="Times New Roman" w:cs="Times New Roman"/>
          <w:b/>
          <w:bCs/>
          <w:color w:val="000000"/>
          <w:sz w:val="24"/>
          <w:szCs w:val="24"/>
        </w:rPr>
      </w:pPr>
      <w:r w:rsidRPr="00954AA6">
        <w:rPr>
          <w:rFonts w:ascii="Times New Roman" w:eastAsia="Times New Roman" w:hAnsi="Times New Roman" w:cs="Times New Roman"/>
          <w:color w:val="000000"/>
          <w:sz w:val="24"/>
          <w:szCs w:val="24"/>
        </w:rPr>
        <w:t>La sottoscritta Dottoressa Patrizia Gentil della Liquidazione Giudiziale n.31/2025, attraverso il delegato Istituto Vendite Giudiziarie del Trentino (in sigla IVGT S.r.l.), avvisa che si procederà alla vendita dei seguenti beni</w:t>
      </w:r>
      <w:r w:rsidR="00B91EFE">
        <w:rPr>
          <w:rFonts w:ascii="Times New Roman" w:eastAsia="Times New Roman" w:hAnsi="Times New Roman" w:cs="Times New Roman"/>
          <w:color w:val="000000"/>
          <w:sz w:val="24"/>
          <w:szCs w:val="24"/>
        </w:rPr>
        <w:t xml:space="preserve">: </w:t>
      </w:r>
      <w:r w:rsidR="005B1DF5">
        <w:rPr>
          <w:rFonts w:ascii="Times New Roman" w:eastAsia="Times New Roman" w:hAnsi="Times New Roman" w:cs="Times New Roman"/>
          <w:b/>
          <w:bCs/>
          <w:color w:val="000000"/>
          <w:sz w:val="24"/>
          <w:szCs w:val="24"/>
        </w:rPr>
        <w:t xml:space="preserve">LOTTO </w:t>
      </w:r>
      <w:r w:rsidR="0041737B">
        <w:rPr>
          <w:rFonts w:ascii="Times New Roman" w:eastAsia="Times New Roman" w:hAnsi="Times New Roman" w:cs="Times New Roman"/>
          <w:b/>
          <w:bCs/>
          <w:color w:val="000000"/>
          <w:sz w:val="24"/>
          <w:szCs w:val="24"/>
        </w:rPr>
        <w:t>7</w:t>
      </w:r>
      <w:r w:rsidR="00C26C8C">
        <w:rPr>
          <w:rFonts w:ascii="Times New Roman" w:eastAsia="Times New Roman" w:hAnsi="Times New Roman" w:cs="Times New Roman"/>
          <w:b/>
          <w:bCs/>
          <w:color w:val="000000"/>
          <w:sz w:val="24"/>
          <w:szCs w:val="24"/>
        </w:rPr>
        <w:t>)</w:t>
      </w:r>
      <w:r w:rsidR="005B1DF5">
        <w:rPr>
          <w:rFonts w:ascii="Times New Roman" w:eastAsia="Times New Roman" w:hAnsi="Times New Roman" w:cs="Times New Roman"/>
          <w:b/>
          <w:bCs/>
          <w:color w:val="000000"/>
          <w:sz w:val="24"/>
          <w:szCs w:val="24"/>
        </w:rPr>
        <w:t xml:space="preserve"> </w:t>
      </w:r>
      <w:r w:rsidR="0005350C">
        <w:rPr>
          <w:rFonts w:ascii="Times New Roman" w:eastAsia="Times New Roman" w:hAnsi="Times New Roman" w:cs="Times New Roman"/>
          <w:b/>
          <w:bCs/>
          <w:color w:val="000000"/>
          <w:sz w:val="24"/>
          <w:szCs w:val="24"/>
        </w:rPr>
        <w:t>DUE RIPOSTIGLI DI C</w:t>
      </w:r>
      <w:r w:rsidR="00E238CA">
        <w:rPr>
          <w:rFonts w:ascii="Times New Roman" w:eastAsia="Times New Roman" w:hAnsi="Times New Roman" w:cs="Times New Roman"/>
          <w:b/>
          <w:bCs/>
          <w:color w:val="000000"/>
          <w:sz w:val="24"/>
          <w:szCs w:val="24"/>
        </w:rPr>
        <w:t>I</w:t>
      </w:r>
      <w:r w:rsidR="0005350C">
        <w:rPr>
          <w:rFonts w:ascii="Times New Roman" w:eastAsia="Times New Roman" w:hAnsi="Times New Roman" w:cs="Times New Roman"/>
          <w:b/>
          <w:bCs/>
          <w:color w:val="000000"/>
          <w:sz w:val="24"/>
          <w:szCs w:val="24"/>
        </w:rPr>
        <w:t>RCA MQ 183</w:t>
      </w:r>
      <w:r w:rsidR="00A05485">
        <w:rPr>
          <w:rFonts w:ascii="Times New Roman" w:eastAsia="Times New Roman" w:hAnsi="Times New Roman" w:cs="Times New Roman"/>
          <w:b/>
          <w:bCs/>
          <w:color w:val="000000"/>
          <w:sz w:val="24"/>
          <w:szCs w:val="24"/>
        </w:rPr>
        <w:t xml:space="preserve"> </w:t>
      </w:r>
      <w:r w:rsidR="005B1DF5">
        <w:rPr>
          <w:rFonts w:ascii="Times New Roman" w:eastAsia="Times New Roman" w:hAnsi="Times New Roman" w:cs="Times New Roman"/>
          <w:b/>
          <w:bCs/>
          <w:color w:val="000000"/>
          <w:sz w:val="24"/>
          <w:szCs w:val="24"/>
        </w:rPr>
        <w:t>sit</w:t>
      </w:r>
      <w:r w:rsidR="00A05485">
        <w:rPr>
          <w:rFonts w:ascii="Times New Roman" w:eastAsia="Times New Roman" w:hAnsi="Times New Roman" w:cs="Times New Roman"/>
          <w:b/>
          <w:bCs/>
          <w:color w:val="000000"/>
          <w:sz w:val="24"/>
          <w:szCs w:val="24"/>
        </w:rPr>
        <w:t>o</w:t>
      </w:r>
      <w:r w:rsidR="005B1DF5">
        <w:rPr>
          <w:rFonts w:ascii="Times New Roman" w:eastAsia="Times New Roman" w:hAnsi="Times New Roman" w:cs="Times New Roman"/>
          <w:b/>
          <w:bCs/>
          <w:color w:val="000000"/>
          <w:sz w:val="24"/>
          <w:szCs w:val="24"/>
        </w:rPr>
        <w:t xml:space="preserve"> in Via </w:t>
      </w:r>
      <w:r w:rsidR="00A05485">
        <w:rPr>
          <w:rFonts w:ascii="Times New Roman" w:eastAsia="Times New Roman" w:hAnsi="Times New Roman" w:cs="Times New Roman"/>
          <w:b/>
          <w:bCs/>
          <w:color w:val="000000"/>
          <w:sz w:val="24"/>
          <w:szCs w:val="24"/>
        </w:rPr>
        <w:t>Sotto Samonte</w:t>
      </w:r>
      <w:r w:rsidR="005B1DF5">
        <w:rPr>
          <w:rFonts w:ascii="Times New Roman" w:eastAsia="Times New Roman" w:hAnsi="Times New Roman" w:cs="Times New Roman"/>
          <w:b/>
          <w:bCs/>
          <w:color w:val="000000"/>
          <w:sz w:val="24"/>
          <w:szCs w:val="24"/>
        </w:rPr>
        <w:t xml:space="preserve"> Borgo Valsugana (TN).</w:t>
      </w:r>
    </w:p>
    <w:p w14:paraId="141F3218" w14:textId="77777777" w:rsidR="00B91EFE" w:rsidRDefault="00B91EFE" w:rsidP="00E531D8">
      <w:pPr>
        <w:widowControl w:val="0"/>
        <w:pBdr>
          <w:top w:val="nil"/>
          <w:left w:val="nil"/>
          <w:bottom w:val="nil"/>
          <w:right w:val="nil"/>
          <w:between w:val="nil"/>
        </w:pBdr>
        <w:spacing w:before="282"/>
        <w:ind w:right="466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AVVISA</w:t>
      </w:r>
    </w:p>
    <w:p w14:paraId="0BD1821D" w14:textId="77777777" w:rsidR="00B91EFE" w:rsidRDefault="00B91EFE" w:rsidP="00E531D8">
      <w:pPr>
        <w:widowControl w:val="0"/>
        <w:pBdr>
          <w:top w:val="nil"/>
          <w:left w:val="nil"/>
          <w:bottom w:val="nil"/>
          <w:right w:val="nil"/>
          <w:between w:val="nil"/>
        </w:pBdr>
        <w:spacing w:before="271"/>
        <w:ind w:right="243"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il </w:t>
      </w:r>
      <w:r>
        <w:rPr>
          <w:rFonts w:ascii="Times New Roman" w:eastAsia="Times New Roman" w:hAnsi="Times New Roman" w:cs="Times New Roman"/>
          <w:b/>
          <w:bCs/>
          <w:color w:val="000000"/>
          <w:sz w:val="24"/>
          <w:szCs w:val="24"/>
        </w:rPr>
        <w:t xml:space="preserve">giorno 15 DICEMBRE 2026 alle ore 12.00 </w:t>
      </w:r>
      <w:r>
        <w:rPr>
          <w:rFonts w:ascii="Times New Roman" w:eastAsia="Times New Roman" w:hAnsi="Times New Roman" w:cs="Times New Roman"/>
          <w:color w:val="000000"/>
          <w:sz w:val="24"/>
          <w:szCs w:val="24"/>
        </w:rPr>
        <w:t xml:space="preserve">si darà luogo alla vendita dell’immobile sotto descritto, alle condizioni e modalità di seguito indicate. </w:t>
      </w:r>
    </w:p>
    <w:p w14:paraId="7F793945" w14:textId="77777777" w:rsidR="00B91EFE" w:rsidRDefault="00B91EFE" w:rsidP="00E531D8">
      <w:pPr>
        <w:widowControl w:val="0"/>
        <w:pBdr>
          <w:top w:val="nil"/>
          <w:left w:val="nil"/>
          <w:bottom w:val="nil"/>
          <w:right w:val="nil"/>
          <w:between w:val="nil"/>
        </w:pBdr>
        <w:spacing w:before="282"/>
        <w:ind w:right="477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FISSA</w:t>
      </w:r>
    </w:p>
    <w:p w14:paraId="05376AD2" w14:textId="07F61258" w:rsidR="00B91EFE" w:rsidRDefault="00B91EFE" w:rsidP="00E531D8">
      <w:pPr>
        <w:widowControl w:val="0"/>
        <w:pBdr>
          <w:top w:val="nil"/>
          <w:left w:val="nil"/>
          <w:bottom w:val="nil"/>
          <w:right w:val="nil"/>
          <w:between w:val="nil"/>
        </w:pBdr>
        <w:spacing w:before="271"/>
        <w:ind w:right="2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quale prezzo base di vendita le somme stabilite per il lotto come di seguito indicato, oltre IVA se e ove dovuta, con offerte in aumento non inferiori a quanto indicato di seguito. </w:t>
      </w:r>
    </w:p>
    <w:p w14:paraId="38727BF1" w14:textId="1FC9949B" w:rsidR="00E531D8" w:rsidRDefault="00E531D8" w:rsidP="00E531D8">
      <w:pPr>
        <w:widowControl w:val="0"/>
        <w:pBdr>
          <w:top w:val="nil"/>
          <w:left w:val="nil"/>
          <w:bottom w:val="nil"/>
          <w:right w:val="nil"/>
          <w:between w:val="nil"/>
        </w:pBdr>
        <w:ind w:right="236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DESCRIZIONE DEL LOTTO </w:t>
      </w:r>
      <w:r w:rsidR="00761FBA">
        <w:rPr>
          <w:rFonts w:ascii="Times New Roman" w:eastAsia="Times New Roman" w:hAnsi="Times New Roman" w:cs="Times New Roman"/>
          <w:b/>
          <w:bCs/>
          <w:color w:val="000000"/>
          <w:sz w:val="24"/>
          <w:szCs w:val="24"/>
        </w:rPr>
        <w:t>7</w:t>
      </w:r>
      <w:r>
        <w:rPr>
          <w:rFonts w:ascii="Times New Roman" w:eastAsia="Times New Roman" w:hAnsi="Times New Roman" w:cs="Times New Roman"/>
          <w:b/>
          <w:bCs/>
          <w:color w:val="000000"/>
          <w:sz w:val="24"/>
          <w:szCs w:val="24"/>
        </w:rPr>
        <w:t xml:space="preserve"> POSTO IN VENDITA </w:t>
      </w:r>
    </w:p>
    <w:p w14:paraId="1AE1E734" w14:textId="396DCBD8" w:rsidR="005B1DF5" w:rsidRPr="009E5053" w:rsidRDefault="005B1DF5" w:rsidP="005B1DF5">
      <w:pPr>
        <w:widowControl w:val="0"/>
        <w:pBdr>
          <w:top w:val="nil"/>
          <w:left w:val="nil"/>
          <w:bottom w:val="nil"/>
          <w:right w:val="nil"/>
          <w:between w:val="nil"/>
        </w:pBdr>
        <w:spacing w:before="272"/>
        <w:ind w:right="397"/>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u w:val="single"/>
        </w:rPr>
        <w:lastRenderedPageBreak/>
        <w:t xml:space="preserve">Dalla perizia del CTU </w:t>
      </w:r>
      <w:proofErr w:type="spellStart"/>
      <w:r w:rsidRPr="009E5053">
        <w:rPr>
          <w:rFonts w:ascii="Times New Roman" w:eastAsia="Times New Roman" w:hAnsi="Times New Roman" w:cs="Times New Roman"/>
          <w:b/>
          <w:bCs/>
          <w:color w:val="000000"/>
          <w:sz w:val="24"/>
          <w:szCs w:val="24"/>
          <w:u w:val="single"/>
        </w:rPr>
        <w:t>dd</w:t>
      </w:r>
      <w:proofErr w:type="spellEnd"/>
      <w:r w:rsidRPr="009E5053">
        <w:rPr>
          <w:rFonts w:ascii="Times New Roman" w:eastAsia="Times New Roman" w:hAnsi="Times New Roman" w:cs="Times New Roman"/>
          <w:b/>
          <w:bCs/>
          <w:color w:val="000000"/>
          <w:sz w:val="24"/>
          <w:szCs w:val="24"/>
          <w:u w:val="single"/>
        </w:rPr>
        <w:t>. 10/07/2026, che qui deve intendersi richiamata e trascritta, risulta</w:t>
      </w:r>
      <w:r w:rsidRPr="009E5053">
        <w:rPr>
          <w:rFonts w:ascii="Times New Roman" w:eastAsia="Times New Roman" w:hAnsi="Times New Roman" w:cs="Times New Roman"/>
          <w:color w:val="000000"/>
          <w:sz w:val="24"/>
          <w:szCs w:val="24"/>
        </w:rPr>
        <w:t xml:space="preserve">: </w:t>
      </w:r>
      <w:r w:rsidR="0005350C">
        <w:rPr>
          <w:rFonts w:ascii="Times New Roman" w:eastAsia="Times New Roman" w:hAnsi="Times New Roman" w:cs="Times New Roman"/>
          <w:color w:val="000000"/>
          <w:sz w:val="24"/>
          <w:szCs w:val="24"/>
        </w:rPr>
        <w:t>RIPOSTIGLI</w:t>
      </w:r>
      <w:r w:rsidRPr="009E5053">
        <w:rPr>
          <w:rFonts w:ascii="Times New Roman" w:eastAsia="Times New Roman" w:hAnsi="Times New Roman" w:cs="Times New Roman"/>
          <w:color w:val="000000"/>
          <w:sz w:val="24"/>
          <w:szCs w:val="24"/>
        </w:rPr>
        <w:t xml:space="preserve"> sit</w:t>
      </w:r>
      <w:r w:rsidR="002C7A2F">
        <w:rPr>
          <w:rFonts w:ascii="Times New Roman" w:eastAsia="Times New Roman" w:hAnsi="Times New Roman" w:cs="Times New Roman"/>
          <w:color w:val="000000"/>
          <w:sz w:val="24"/>
          <w:szCs w:val="24"/>
        </w:rPr>
        <w:t>o</w:t>
      </w:r>
      <w:r w:rsidRPr="009E5053">
        <w:rPr>
          <w:rFonts w:ascii="Times New Roman" w:eastAsia="Times New Roman" w:hAnsi="Times New Roman" w:cs="Times New Roman"/>
          <w:color w:val="000000"/>
          <w:sz w:val="24"/>
          <w:szCs w:val="24"/>
        </w:rPr>
        <w:t xml:space="preserve"> in Via </w:t>
      </w:r>
      <w:r w:rsidR="002C7A2F">
        <w:rPr>
          <w:rFonts w:ascii="Times New Roman" w:eastAsia="Times New Roman" w:hAnsi="Times New Roman" w:cs="Times New Roman"/>
          <w:color w:val="000000"/>
          <w:sz w:val="24"/>
          <w:szCs w:val="24"/>
        </w:rPr>
        <w:t>Sotto Samonte</w:t>
      </w:r>
      <w:r w:rsidRPr="009E5053">
        <w:rPr>
          <w:rFonts w:ascii="Times New Roman" w:eastAsia="Times New Roman" w:hAnsi="Times New Roman" w:cs="Times New Roman"/>
          <w:color w:val="000000"/>
          <w:sz w:val="24"/>
          <w:szCs w:val="24"/>
        </w:rPr>
        <w:t xml:space="preserve"> Borgo Valsugana (TN). </w:t>
      </w:r>
    </w:p>
    <w:p w14:paraId="676F8324"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3894D773" w14:textId="4E161812" w:rsidR="003D20F2" w:rsidRPr="003D20F2" w:rsidRDefault="00C26C8C" w:rsidP="003D20F2">
      <w:pPr>
        <w:autoSpaceDE w:val="0"/>
        <w:autoSpaceDN w:val="0"/>
        <w:adjustRightInd w:val="0"/>
        <w:jc w:val="both"/>
        <w:rPr>
          <w:rFonts w:ascii="Times New Roman" w:hAnsi="Times New Roman" w:cs="Times New Roman"/>
          <w:sz w:val="24"/>
          <w:szCs w:val="24"/>
        </w:rPr>
      </w:pPr>
      <w:r w:rsidRPr="00C26C8C">
        <w:rPr>
          <w:rFonts w:ascii="Times New Roman" w:hAnsi="Times New Roman" w:cs="Times New Roman"/>
          <w:sz w:val="24"/>
          <w:szCs w:val="24"/>
        </w:rPr>
        <w:t>La</w:t>
      </w:r>
      <w:r w:rsidR="003D20F2" w:rsidRPr="003D20F2">
        <w:rPr>
          <w:rFonts w:ascii="Times New Roman" w:hAnsi="Times New Roman" w:cs="Times New Roman"/>
          <w:sz w:val="24"/>
          <w:szCs w:val="24"/>
        </w:rPr>
        <w:t xml:space="preserve"> </w:t>
      </w:r>
      <w:r w:rsidR="003D20F2" w:rsidRPr="003D20F2">
        <w:rPr>
          <w:rFonts w:ascii="Times New Roman" w:hAnsi="Times New Roman" w:cs="Times New Roman"/>
          <w:b/>
          <w:bCs/>
          <w:sz w:val="24"/>
          <w:szCs w:val="24"/>
        </w:rPr>
        <w:t>P.ED. 2641</w:t>
      </w:r>
      <w:r w:rsidR="003D20F2" w:rsidRPr="003D20F2">
        <w:rPr>
          <w:rFonts w:ascii="Times New Roman" w:hAnsi="Times New Roman" w:cs="Times New Roman"/>
          <w:sz w:val="24"/>
          <w:szCs w:val="24"/>
        </w:rPr>
        <w:t xml:space="preserve"> è divisa in porzioni materiali.</w:t>
      </w:r>
    </w:p>
    <w:p w14:paraId="411A218F"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La P.M. 8 viene così descritta:</w:t>
      </w:r>
    </w:p>
    <w:p w14:paraId="486E6E52" w14:textId="77777777"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 piano interrato: terrapieno, due ripostigli e tunnel.</w:t>
      </w:r>
    </w:p>
    <w:p w14:paraId="3BFCDF72" w14:textId="028AF3EC"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PARTI COMUNI:</w:t>
      </w:r>
      <w:r>
        <w:rPr>
          <w:rFonts w:ascii="Times New Roman" w:hAnsi="Times New Roman" w:cs="Times New Roman"/>
          <w:sz w:val="24"/>
          <w:szCs w:val="24"/>
        </w:rPr>
        <w:t xml:space="preserve"> </w:t>
      </w:r>
      <w:r w:rsidRPr="003D20F2">
        <w:rPr>
          <w:rFonts w:ascii="Times New Roman" w:hAnsi="Times New Roman" w:cs="Times New Roman"/>
          <w:sz w:val="24"/>
          <w:szCs w:val="24"/>
        </w:rPr>
        <w:t>Alle porzioni materiali 2, 3, 5 e 7:</w:t>
      </w:r>
    </w:p>
    <w:p w14:paraId="6F14DA59"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 piano interrato: disbrigo;</w:t>
      </w:r>
    </w:p>
    <w:p w14:paraId="0E09828B"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Alle porzioni materiali 1, 2, 3, 4, 5, 6, 7 e 8:</w:t>
      </w:r>
    </w:p>
    <w:p w14:paraId="1DE1CBDD"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 piano interrato: rampa di accesso, spazio manovra, disbrigo e bocca di</w:t>
      </w:r>
    </w:p>
    <w:p w14:paraId="7A56AE0E"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lupo;</w:t>
      </w:r>
    </w:p>
    <w:p w14:paraId="6A6047F1"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Alle porzioni materiali 1, 2, 3, 4, 5, 6 e 7:</w:t>
      </w:r>
    </w:p>
    <w:p w14:paraId="0AB4E84F"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 piano terra: il cortile;</w:t>
      </w:r>
    </w:p>
    <w:p w14:paraId="5940C68F"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 piano interrato: tutte le scale, pianerottoli e giroscale fino al primo</w:t>
      </w:r>
    </w:p>
    <w:p w14:paraId="250E4E11"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piano;</w:t>
      </w:r>
    </w:p>
    <w:p w14:paraId="30D5AE28"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 piano sottotetto: il sottotetto impraticabile ed il tetto.</w:t>
      </w:r>
    </w:p>
    <w:p w14:paraId="1086EF0E"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I contenuti dei fogli A1 – A2 – B – C del libro maestro si possono</w:t>
      </w:r>
    </w:p>
    <w:p w14:paraId="238D9A3E"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 xml:space="preserve">riscontrare dettagliatamente negli estratti </w:t>
      </w:r>
      <w:proofErr w:type="spellStart"/>
      <w:r w:rsidRPr="003D20F2">
        <w:rPr>
          <w:rFonts w:ascii="Times New Roman" w:hAnsi="Times New Roman" w:cs="Times New Roman"/>
          <w:sz w:val="24"/>
          <w:szCs w:val="24"/>
        </w:rPr>
        <w:t>tavolari</w:t>
      </w:r>
      <w:proofErr w:type="spellEnd"/>
      <w:r w:rsidRPr="003D20F2">
        <w:rPr>
          <w:rFonts w:ascii="Times New Roman" w:hAnsi="Times New Roman" w:cs="Times New Roman"/>
          <w:sz w:val="24"/>
          <w:szCs w:val="24"/>
        </w:rPr>
        <w:t xml:space="preserve"> allegati a cui si rinvia per</w:t>
      </w:r>
    </w:p>
    <w:p w14:paraId="25EA4C98" w14:textId="0A63122C"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una corretta certificazione di: proprietà, servitù attive e passive ed aggravi</w:t>
      </w:r>
    </w:p>
    <w:p w14:paraId="3EA3B523" w14:textId="77777777" w:rsidR="00C26C8C" w:rsidRPr="009E5053" w:rsidRDefault="00C26C8C" w:rsidP="00C26C8C">
      <w:pPr>
        <w:autoSpaceDE w:val="0"/>
        <w:autoSpaceDN w:val="0"/>
        <w:adjustRightInd w:val="0"/>
        <w:jc w:val="both"/>
        <w:rPr>
          <w:rFonts w:ascii="Times New Roman" w:hAnsi="Times New Roman" w:cs="Times New Roman"/>
          <w:sz w:val="24"/>
          <w:szCs w:val="24"/>
        </w:rPr>
      </w:pPr>
    </w:p>
    <w:p w14:paraId="14B18031" w14:textId="1553EBBA" w:rsidR="005B1DF5"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FABBRICATO </w:t>
      </w:r>
    </w:p>
    <w:p w14:paraId="069643E8" w14:textId="40BB1C70"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L’immobile oggetto di valutazione, sito in Via Sotto Samonte, nelle vicinanze</w:t>
      </w:r>
      <w:r>
        <w:rPr>
          <w:rFonts w:ascii="Times New Roman" w:hAnsi="Times New Roman" w:cs="Times New Roman"/>
          <w:sz w:val="24"/>
          <w:szCs w:val="24"/>
        </w:rPr>
        <w:t xml:space="preserve"> </w:t>
      </w:r>
      <w:r w:rsidRPr="003D20F2">
        <w:rPr>
          <w:rFonts w:ascii="Times New Roman" w:hAnsi="Times New Roman" w:cs="Times New Roman"/>
          <w:sz w:val="24"/>
          <w:szCs w:val="24"/>
        </w:rPr>
        <w:t>del civico 13, si configura come un edificio di tipo residenziale destinato alla</w:t>
      </w:r>
      <w:r>
        <w:rPr>
          <w:rFonts w:ascii="Times New Roman" w:hAnsi="Times New Roman" w:cs="Times New Roman"/>
          <w:sz w:val="24"/>
          <w:szCs w:val="24"/>
        </w:rPr>
        <w:t xml:space="preserve"> </w:t>
      </w:r>
      <w:r w:rsidRPr="003D20F2">
        <w:rPr>
          <w:rFonts w:ascii="Times New Roman" w:hAnsi="Times New Roman" w:cs="Times New Roman"/>
          <w:sz w:val="24"/>
          <w:szCs w:val="24"/>
        </w:rPr>
        <w:t>residenza.</w:t>
      </w:r>
    </w:p>
    <w:p w14:paraId="2C490091" w14:textId="79DD6266"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 xml:space="preserve">La </w:t>
      </w:r>
      <w:r w:rsidRPr="003D20F2">
        <w:rPr>
          <w:rFonts w:ascii="Times New Roman" w:hAnsi="Times New Roman" w:cs="Times New Roman"/>
          <w:b/>
          <w:bCs/>
          <w:sz w:val="24"/>
          <w:szCs w:val="24"/>
        </w:rPr>
        <w:t>P.ED. 2641</w:t>
      </w:r>
      <w:r w:rsidRPr="003D20F2">
        <w:rPr>
          <w:rFonts w:ascii="Times New Roman" w:hAnsi="Times New Roman" w:cs="Times New Roman"/>
          <w:sz w:val="24"/>
          <w:szCs w:val="24"/>
        </w:rPr>
        <w:t xml:space="preserve"> del Comune Catastale di Borgo identifica un edificio di tipo</w:t>
      </w:r>
      <w:r>
        <w:rPr>
          <w:rFonts w:ascii="Times New Roman" w:hAnsi="Times New Roman" w:cs="Times New Roman"/>
          <w:sz w:val="24"/>
          <w:szCs w:val="24"/>
        </w:rPr>
        <w:t xml:space="preserve"> </w:t>
      </w:r>
      <w:r w:rsidRPr="003D20F2">
        <w:rPr>
          <w:rFonts w:ascii="Times New Roman" w:hAnsi="Times New Roman" w:cs="Times New Roman"/>
          <w:sz w:val="24"/>
          <w:szCs w:val="24"/>
        </w:rPr>
        <w:t>residenziale posto nella periferia sud del Comune di Borgo Valsugana.</w:t>
      </w:r>
      <w:r>
        <w:rPr>
          <w:rFonts w:ascii="Times New Roman" w:hAnsi="Times New Roman" w:cs="Times New Roman"/>
          <w:sz w:val="24"/>
          <w:szCs w:val="24"/>
        </w:rPr>
        <w:t xml:space="preserve"> </w:t>
      </w:r>
      <w:proofErr w:type="gramStart"/>
      <w:r w:rsidRPr="003D20F2">
        <w:rPr>
          <w:rFonts w:ascii="Times New Roman" w:hAnsi="Times New Roman" w:cs="Times New Roman"/>
          <w:sz w:val="24"/>
          <w:szCs w:val="24"/>
        </w:rPr>
        <w:t>E’</w:t>
      </w:r>
      <w:proofErr w:type="gramEnd"/>
      <w:r w:rsidRPr="003D20F2">
        <w:rPr>
          <w:rFonts w:ascii="Times New Roman" w:hAnsi="Times New Roman" w:cs="Times New Roman"/>
          <w:sz w:val="24"/>
          <w:szCs w:val="24"/>
        </w:rPr>
        <w:t xml:space="preserve"> stato costruito sulla base della Concessione di Edificare N° 8931/1994 e</w:t>
      </w:r>
      <w:r>
        <w:rPr>
          <w:rFonts w:ascii="Times New Roman" w:hAnsi="Times New Roman" w:cs="Times New Roman"/>
          <w:sz w:val="24"/>
          <w:szCs w:val="24"/>
        </w:rPr>
        <w:t xml:space="preserve"> </w:t>
      </w:r>
      <w:r w:rsidRPr="003D20F2">
        <w:rPr>
          <w:rFonts w:ascii="Times New Roman" w:hAnsi="Times New Roman" w:cs="Times New Roman"/>
          <w:sz w:val="24"/>
          <w:szCs w:val="24"/>
        </w:rPr>
        <w:t>successive varianti (vedasi titoli edilizi allegati).</w:t>
      </w:r>
    </w:p>
    <w:p w14:paraId="2080C5C3" w14:textId="50C76132"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L’immobile è formato da un piano interrato destinato a garage e vani</w:t>
      </w:r>
      <w:r>
        <w:rPr>
          <w:rFonts w:ascii="Times New Roman" w:hAnsi="Times New Roman" w:cs="Times New Roman"/>
          <w:sz w:val="24"/>
          <w:szCs w:val="24"/>
        </w:rPr>
        <w:t xml:space="preserve"> </w:t>
      </w:r>
      <w:r w:rsidRPr="003D20F2">
        <w:rPr>
          <w:rFonts w:ascii="Times New Roman" w:hAnsi="Times New Roman" w:cs="Times New Roman"/>
          <w:sz w:val="24"/>
          <w:szCs w:val="24"/>
        </w:rPr>
        <w:t>accessori, da un piano terra destinato a zona giorno e un primo piano</w:t>
      </w:r>
      <w:r>
        <w:rPr>
          <w:rFonts w:ascii="Times New Roman" w:hAnsi="Times New Roman" w:cs="Times New Roman"/>
          <w:sz w:val="24"/>
          <w:szCs w:val="24"/>
        </w:rPr>
        <w:t xml:space="preserve"> </w:t>
      </w:r>
      <w:r w:rsidRPr="003D20F2">
        <w:rPr>
          <w:rFonts w:ascii="Times New Roman" w:hAnsi="Times New Roman" w:cs="Times New Roman"/>
          <w:sz w:val="24"/>
          <w:szCs w:val="24"/>
        </w:rPr>
        <w:t>destinato a zona notte, degli alloggi esistenti.</w:t>
      </w:r>
      <w:r>
        <w:rPr>
          <w:rFonts w:ascii="Times New Roman" w:hAnsi="Times New Roman" w:cs="Times New Roman"/>
          <w:sz w:val="24"/>
          <w:szCs w:val="24"/>
        </w:rPr>
        <w:t xml:space="preserve"> </w:t>
      </w:r>
      <w:r w:rsidRPr="003D20F2">
        <w:rPr>
          <w:rFonts w:ascii="Times New Roman" w:hAnsi="Times New Roman" w:cs="Times New Roman"/>
          <w:sz w:val="24"/>
          <w:szCs w:val="24"/>
        </w:rPr>
        <w:t>Strutturalmente è stato realizzato con una struttura portante in calcestruzzo</w:t>
      </w:r>
      <w:r>
        <w:rPr>
          <w:rFonts w:ascii="Times New Roman" w:hAnsi="Times New Roman" w:cs="Times New Roman"/>
          <w:sz w:val="24"/>
          <w:szCs w:val="24"/>
        </w:rPr>
        <w:t xml:space="preserve"> </w:t>
      </w:r>
      <w:r w:rsidRPr="003D20F2">
        <w:rPr>
          <w:rFonts w:ascii="Times New Roman" w:hAnsi="Times New Roman" w:cs="Times New Roman"/>
          <w:sz w:val="24"/>
          <w:szCs w:val="24"/>
        </w:rPr>
        <w:t>armato, solai in latero-cemento e copertura il legno.</w:t>
      </w:r>
    </w:p>
    <w:p w14:paraId="1912F6C7"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0791FB86" w14:textId="7B9EF438"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DESCRIZIONE INTERNA </w:t>
      </w:r>
    </w:p>
    <w:p w14:paraId="636C6CBC" w14:textId="76DBDF43"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L’immobile oggetto di stima dispone della rampa d’accesso comune, che</w:t>
      </w:r>
      <w:r>
        <w:rPr>
          <w:rFonts w:ascii="Times New Roman" w:hAnsi="Times New Roman" w:cs="Times New Roman"/>
          <w:sz w:val="24"/>
          <w:szCs w:val="24"/>
        </w:rPr>
        <w:t xml:space="preserve"> </w:t>
      </w:r>
      <w:r w:rsidRPr="003D20F2">
        <w:rPr>
          <w:rFonts w:ascii="Times New Roman" w:hAnsi="Times New Roman" w:cs="Times New Roman"/>
          <w:sz w:val="24"/>
          <w:szCs w:val="24"/>
        </w:rPr>
        <w:t>però non permette l’accesso ai ripostigli.</w:t>
      </w:r>
      <w:r>
        <w:rPr>
          <w:rFonts w:ascii="Times New Roman" w:hAnsi="Times New Roman" w:cs="Times New Roman"/>
          <w:sz w:val="24"/>
          <w:szCs w:val="24"/>
        </w:rPr>
        <w:t xml:space="preserve"> </w:t>
      </w:r>
      <w:r w:rsidRPr="003D20F2">
        <w:rPr>
          <w:rFonts w:ascii="Times New Roman" w:hAnsi="Times New Roman" w:cs="Times New Roman"/>
          <w:sz w:val="24"/>
          <w:szCs w:val="24"/>
        </w:rPr>
        <w:t>Questi sono accessibili dalla rampa privata della P.D. 2519, sulla quale</w:t>
      </w:r>
    </w:p>
    <w:p w14:paraId="0D5E9AFC" w14:textId="51944F53"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non vi sono diritti di passaggio intavolati.</w:t>
      </w:r>
    </w:p>
    <w:p w14:paraId="0003B6FF" w14:textId="5A6DD9A8" w:rsidR="007F0A29"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Il bene oggetto di stima si trova al piano interrato della P.ED. 2641 ed è</w:t>
      </w:r>
      <w:r>
        <w:rPr>
          <w:rFonts w:ascii="Times New Roman" w:hAnsi="Times New Roman" w:cs="Times New Roman"/>
          <w:sz w:val="24"/>
          <w:szCs w:val="24"/>
        </w:rPr>
        <w:t xml:space="preserve"> </w:t>
      </w:r>
      <w:r w:rsidRPr="003D20F2">
        <w:rPr>
          <w:rFonts w:ascii="Times New Roman" w:hAnsi="Times New Roman" w:cs="Times New Roman"/>
          <w:sz w:val="24"/>
          <w:szCs w:val="24"/>
        </w:rPr>
        <w:t>raggiungibile dalla strada privata adiacente, non di proprietà.</w:t>
      </w:r>
      <w:r w:rsidRPr="003D20F2">
        <w:rPr>
          <w:rFonts w:ascii="Times New Roman" w:eastAsiaTheme="minorHAnsi" w:hAnsi="Times New Roman" w:cs="Times New Roman"/>
          <w:sz w:val="24"/>
          <w:szCs w:val="24"/>
          <w:lang w:eastAsia="en-US"/>
          <w14:ligatures w14:val="standardContextual"/>
        </w:rPr>
        <w:t xml:space="preserve"> </w:t>
      </w:r>
      <w:r w:rsidRPr="003D20F2">
        <w:rPr>
          <w:rFonts w:ascii="Times New Roman" w:hAnsi="Times New Roman" w:cs="Times New Roman"/>
          <w:sz w:val="24"/>
          <w:szCs w:val="24"/>
        </w:rPr>
        <w:t>Il bene è formato da due ripostigli indipendenti</w:t>
      </w:r>
    </w:p>
    <w:p w14:paraId="5A4FB993"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Ai fini della stima l’immobile assume la seguente consistenza (SEL):</w:t>
      </w:r>
    </w:p>
    <w:p w14:paraId="3F8F1A4A"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RIPOSTIGLI = 45 mq commerciali.</w:t>
      </w:r>
    </w:p>
    <w:p w14:paraId="6FF05336" w14:textId="77777777"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Superficie utile netta (SUN):</w:t>
      </w:r>
    </w:p>
    <w:p w14:paraId="3DA4F4C0" w14:textId="71B51FA6"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RIPOSTIGLI = 50 mq.</w:t>
      </w:r>
    </w:p>
    <w:p w14:paraId="61898944" w14:textId="77777777" w:rsidR="003D20F2" w:rsidRDefault="003D20F2" w:rsidP="003D20F2">
      <w:pPr>
        <w:autoSpaceDE w:val="0"/>
        <w:autoSpaceDN w:val="0"/>
        <w:adjustRightInd w:val="0"/>
        <w:jc w:val="both"/>
        <w:rPr>
          <w:rFonts w:ascii="Times New Roman" w:hAnsi="Times New Roman" w:cs="Times New Roman"/>
          <w:sz w:val="24"/>
          <w:szCs w:val="24"/>
        </w:rPr>
      </w:pPr>
    </w:p>
    <w:p w14:paraId="013256DF" w14:textId="77777777" w:rsidR="003D20F2" w:rsidRDefault="003D20F2" w:rsidP="003D20F2">
      <w:pPr>
        <w:autoSpaceDE w:val="0"/>
        <w:autoSpaceDN w:val="0"/>
        <w:adjustRightInd w:val="0"/>
        <w:jc w:val="both"/>
        <w:rPr>
          <w:rFonts w:ascii="Times New Roman" w:hAnsi="Times New Roman" w:cs="Times New Roman"/>
          <w:sz w:val="24"/>
          <w:szCs w:val="24"/>
        </w:rPr>
      </w:pPr>
    </w:p>
    <w:p w14:paraId="1701BCF7" w14:textId="77777777" w:rsidR="003D20F2" w:rsidRDefault="003D20F2" w:rsidP="003D20F2">
      <w:pPr>
        <w:autoSpaceDE w:val="0"/>
        <w:autoSpaceDN w:val="0"/>
        <w:adjustRightInd w:val="0"/>
        <w:jc w:val="both"/>
        <w:rPr>
          <w:rFonts w:ascii="Times New Roman" w:hAnsi="Times New Roman" w:cs="Times New Roman"/>
          <w:sz w:val="24"/>
          <w:szCs w:val="24"/>
        </w:rPr>
      </w:pPr>
    </w:p>
    <w:p w14:paraId="01C4EABA" w14:textId="2DC6659C"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lastRenderedPageBreak/>
        <w:t xml:space="preserve">CONFORMITÀ URBANISTICA </w:t>
      </w:r>
    </w:p>
    <w:p w14:paraId="1F181E6E" w14:textId="22AD0F63"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Dal raffronto tra lo stato di fatto e gli atti autorizzativi presenti presso il Comune</w:t>
      </w:r>
      <w:r>
        <w:rPr>
          <w:rFonts w:ascii="Times New Roman" w:hAnsi="Times New Roman" w:cs="Times New Roman"/>
          <w:sz w:val="24"/>
          <w:szCs w:val="24"/>
        </w:rPr>
        <w:t xml:space="preserve"> </w:t>
      </w:r>
      <w:r w:rsidRPr="003D20F2">
        <w:rPr>
          <w:rFonts w:ascii="Times New Roman" w:hAnsi="Times New Roman" w:cs="Times New Roman"/>
          <w:sz w:val="24"/>
          <w:szCs w:val="24"/>
        </w:rPr>
        <w:t>di Borgo Valsugana sembrano esserci difformità urbanistiche.</w:t>
      </w:r>
      <w:r>
        <w:rPr>
          <w:rFonts w:ascii="Times New Roman" w:hAnsi="Times New Roman" w:cs="Times New Roman"/>
          <w:sz w:val="24"/>
          <w:szCs w:val="24"/>
        </w:rPr>
        <w:t xml:space="preserve"> </w:t>
      </w:r>
      <w:r w:rsidRPr="003D20F2">
        <w:rPr>
          <w:rFonts w:ascii="Times New Roman" w:hAnsi="Times New Roman" w:cs="Times New Roman"/>
          <w:sz w:val="24"/>
          <w:szCs w:val="24"/>
        </w:rPr>
        <w:t xml:space="preserve">Nello specifico le dimensioni attuali dei ripostigli fanno </w:t>
      </w:r>
      <w:proofErr w:type="spellStart"/>
      <w:r w:rsidRPr="003D20F2">
        <w:rPr>
          <w:rFonts w:ascii="Times New Roman" w:hAnsi="Times New Roman" w:cs="Times New Roman"/>
          <w:sz w:val="24"/>
          <w:szCs w:val="24"/>
        </w:rPr>
        <w:t>si</w:t>
      </w:r>
      <w:proofErr w:type="spellEnd"/>
      <w:r w:rsidRPr="003D20F2">
        <w:rPr>
          <w:rFonts w:ascii="Times New Roman" w:hAnsi="Times New Roman" w:cs="Times New Roman"/>
          <w:sz w:val="24"/>
          <w:szCs w:val="24"/>
        </w:rPr>
        <w:t xml:space="preserve"> che quest’ultimi</w:t>
      </w:r>
      <w:r>
        <w:rPr>
          <w:rFonts w:ascii="Times New Roman" w:hAnsi="Times New Roman" w:cs="Times New Roman"/>
          <w:sz w:val="24"/>
          <w:szCs w:val="24"/>
        </w:rPr>
        <w:t xml:space="preserve"> </w:t>
      </w:r>
      <w:r w:rsidRPr="003D20F2">
        <w:rPr>
          <w:rFonts w:ascii="Times New Roman" w:hAnsi="Times New Roman" w:cs="Times New Roman"/>
          <w:sz w:val="24"/>
          <w:szCs w:val="24"/>
        </w:rPr>
        <w:t>invadono la corsia di manovra della P.ED. 2519.</w:t>
      </w:r>
      <w:r>
        <w:rPr>
          <w:rFonts w:ascii="Times New Roman" w:hAnsi="Times New Roman" w:cs="Times New Roman"/>
          <w:sz w:val="24"/>
          <w:szCs w:val="24"/>
        </w:rPr>
        <w:t xml:space="preserve"> </w:t>
      </w:r>
      <w:r w:rsidRPr="003D20F2">
        <w:rPr>
          <w:rFonts w:ascii="Times New Roman" w:hAnsi="Times New Roman" w:cs="Times New Roman"/>
          <w:sz w:val="24"/>
          <w:szCs w:val="24"/>
        </w:rPr>
        <w:t>Si evidenzia anche il fatto che sempre sulla corsia di manovra della P.ED. 2519</w:t>
      </w:r>
      <w:r>
        <w:rPr>
          <w:rFonts w:ascii="Times New Roman" w:hAnsi="Times New Roman" w:cs="Times New Roman"/>
          <w:sz w:val="24"/>
          <w:szCs w:val="24"/>
        </w:rPr>
        <w:t xml:space="preserve"> </w:t>
      </w:r>
      <w:r w:rsidRPr="003D20F2">
        <w:rPr>
          <w:rFonts w:ascii="Times New Roman" w:hAnsi="Times New Roman" w:cs="Times New Roman"/>
          <w:sz w:val="24"/>
          <w:szCs w:val="24"/>
        </w:rPr>
        <w:t>sono dislocati i contatori dell’energia elettrica di pertinenza della P.ED. 2641.</w:t>
      </w:r>
      <w:r>
        <w:rPr>
          <w:rFonts w:ascii="Times New Roman" w:hAnsi="Times New Roman" w:cs="Times New Roman"/>
          <w:sz w:val="24"/>
          <w:szCs w:val="24"/>
        </w:rPr>
        <w:t xml:space="preserve"> </w:t>
      </w:r>
      <w:r w:rsidRPr="003D20F2">
        <w:rPr>
          <w:rFonts w:ascii="Times New Roman" w:hAnsi="Times New Roman" w:cs="Times New Roman"/>
          <w:sz w:val="24"/>
          <w:szCs w:val="24"/>
        </w:rPr>
        <w:t>La situazione non è sanabile, bisognerà ripristinare i luoghi come da progetto</w:t>
      </w:r>
      <w:r>
        <w:rPr>
          <w:rFonts w:ascii="Times New Roman" w:hAnsi="Times New Roman" w:cs="Times New Roman"/>
          <w:sz w:val="24"/>
          <w:szCs w:val="24"/>
        </w:rPr>
        <w:t xml:space="preserve"> </w:t>
      </w:r>
      <w:r w:rsidRPr="003D20F2">
        <w:rPr>
          <w:rFonts w:ascii="Times New Roman" w:hAnsi="Times New Roman" w:cs="Times New Roman"/>
          <w:sz w:val="24"/>
          <w:szCs w:val="24"/>
        </w:rPr>
        <w:t>autorizzato e, quindi, arretrare i portoni di accesso di circa 55 cm.</w:t>
      </w:r>
    </w:p>
    <w:p w14:paraId="7F31B5A2" w14:textId="5C7FA1BB"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Dal raffronto tra lo stato di fatto e le planimetrie catastali depositate presso</w:t>
      </w:r>
      <w:r>
        <w:rPr>
          <w:rFonts w:ascii="Times New Roman" w:hAnsi="Times New Roman" w:cs="Times New Roman"/>
          <w:sz w:val="24"/>
          <w:szCs w:val="24"/>
        </w:rPr>
        <w:t xml:space="preserve"> </w:t>
      </w:r>
      <w:r w:rsidRPr="003D20F2">
        <w:rPr>
          <w:rFonts w:ascii="Times New Roman" w:hAnsi="Times New Roman" w:cs="Times New Roman"/>
          <w:sz w:val="24"/>
          <w:szCs w:val="24"/>
        </w:rPr>
        <w:t>l’Ufficio del Catasto si ravvisano difformità.</w:t>
      </w:r>
      <w:r>
        <w:rPr>
          <w:rFonts w:ascii="Times New Roman" w:hAnsi="Times New Roman" w:cs="Times New Roman"/>
          <w:sz w:val="24"/>
          <w:szCs w:val="24"/>
        </w:rPr>
        <w:t xml:space="preserve"> </w:t>
      </w:r>
      <w:r w:rsidRPr="003D20F2">
        <w:rPr>
          <w:rFonts w:ascii="Times New Roman" w:hAnsi="Times New Roman" w:cs="Times New Roman"/>
          <w:sz w:val="24"/>
          <w:szCs w:val="24"/>
        </w:rPr>
        <w:t>Nello specifico in planimetria viene evidenziato un ente (disbrigo) che non è più</w:t>
      </w:r>
      <w:r>
        <w:rPr>
          <w:rFonts w:ascii="Times New Roman" w:hAnsi="Times New Roman" w:cs="Times New Roman"/>
          <w:sz w:val="24"/>
          <w:szCs w:val="24"/>
        </w:rPr>
        <w:t xml:space="preserve"> </w:t>
      </w:r>
      <w:r w:rsidRPr="003D20F2">
        <w:rPr>
          <w:rFonts w:ascii="Times New Roman" w:hAnsi="Times New Roman" w:cs="Times New Roman"/>
          <w:sz w:val="24"/>
          <w:szCs w:val="24"/>
        </w:rPr>
        <w:t>in proprietà.</w:t>
      </w:r>
      <w:r>
        <w:rPr>
          <w:rFonts w:ascii="Times New Roman" w:hAnsi="Times New Roman" w:cs="Times New Roman"/>
          <w:sz w:val="24"/>
          <w:szCs w:val="24"/>
        </w:rPr>
        <w:t xml:space="preserve"> </w:t>
      </w:r>
      <w:r w:rsidRPr="003D20F2">
        <w:rPr>
          <w:rFonts w:ascii="Times New Roman" w:hAnsi="Times New Roman" w:cs="Times New Roman"/>
          <w:sz w:val="24"/>
          <w:szCs w:val="24"/>
        </w:rPr>
        <w:t>Per la regolarizzazione della situazione sarà necessario aggiornare la planimetria,</w:t>
      </w:r>
    </w:p>
    <w:p w14:paraId="3DE618FE" w14:textId="063246F2"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con un costo presunto tra spese tecniche e ravvedimenti operosi pari ad €</w:t>
      </w:r>
      <w:r>
        <w:rPr>
          <w:rFonts w:ascii="Times New Roman" w:hAnsi="Times New Roman" w:cs="Times New Roman"/>
          <w:sz w:val="24"/>
          <w:szCs w:val="24"/>
        </w:rPr>
        <w:t xml:space="preserve"> </w:t>
      </w:r>
      <w:r w:rsidRPr="003D20F2">
        <w:rPr>
          <w:rFonts w:ascii="Times New Roman" w:hAnsi="Times New Roman" w:cs="Times New Roman"/>
          <w:sz w:val="24"/>
          <w:szCs w:val="24"/>
        </w:rPr>
        <w:t>1.000,00-.</w:t>
      </w:r>
    </w:p>
    <w:p w14:paraId="70CDB4A1" w14:textId="77777777" w:rsidR="005B1DF5"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       </w:t>
      </w:r>
    </w:p>
    <w:p w14:paraId="518ED5F0" w14:textId="674F408B" w:rsidR="002040B1"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CONFORMITÀ CATASTALE </w:t>
      </w:r>
    </w:p>
    <w:p w14:paraId="2BAD032F" w14:textId="3F85E0AB" w:rsidR="003D20F2" w:rsidRP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Al valore dell’immobile (€ 8.750,00) sarà detratto un 5% dovuto a vizi occulti,</w:t>
      </w:r>
      <w:r>
        <w:rPr>
          <w:rFonts w:ascii="Times New Roman" w:hAnsi="Times New Roman" w:cs="Times New Roman"/>
          <w:sz w:val="24"/>
          <w:szCs w:val="24"/>
        </w:rPr>
        <w:t xml:space="preserve"> </w:t>
      </w:r>
      <w:r w:rsidRPr="003D20F2">
        <w:rPr>
          <w:rFonts w:ascii="Times New Roman" w:hAnsi="Times New Roman" w:cs="Times New Roman"/>
          <w:sz w:val="24"/>
          <w:szCs w:val="24"/>
        </w:rPr>
        <w:t>pari ad € 437,50-.</w:t>
      </w:r>
    </w:p>
    <w:p w14:paraId="76DBB1CE" w14:textId="2465724F" w:rsidR="003D20F2" w:rsidRDefault="003D20F2" w:rsidP="003D20F2">
      <w:pPr>
        <w:autoSpaceDE w:val="0"/>
        <w:autoSpaceDN w:val="0"/>
        <w:adjustRightInd w:val="0"/>
        <w:jc w:val="both"/>
        <w:rPr>
          <w:rFonts w:ascii="Times New Roman" w:hAnsi="Times New Roman" w:cs="Times New Roman"/>
          <w:sz w:val="24"/>
          <w:szCs w:val="24"/>
        </w:rPr>
      </w:pPr>
      <w:r w:rsidRPr="003D20F2">
        <w:rPr>
          <w:rFonts w:ascii="Times New Roman" w:hAnsi="Times New Roman" w:cs="Times New Roman"/>
          <w:sz w:val="24"/>
          <w:szCs w:val="24"/>
        </w:rPr>
        <w:t>Nella cifra sopra indicata è compreso lo sgombero di eventuali beni presenti</w:t>
      </w:r>
      <w:r w:rsidR="00D75426">
        <w:rPr>
          <w:rFonts w:ascii="Times New Roman" w:hAnsi="Times New Roman" w:cs="Times New Roman"/>
          <w:sz w:val="24"/>
          <w:szCs w:val="24"/>
        </w:rPr>
        <w:t xml:space="preserve"> </w:t>
      </w:r>
      <w:r w:rsidRPr="003D20F2">
        <w:rPr>
          <w:rFonts w:ascii="Times New Roman" w:hAnsi="Times New Roman" w:cs="Times New Roman"/>
          <w:sz w:val="24"/>
          <w:szCs w:val="24"/>
        </w:rPr>
        <w:t>all'interno.</w:t>
      </w:r>
      <w:r w:rsidR="00D75426">
        <w:rPr>
          <w:rFonts w:ascii="Times New Roman" w:hAnsi="Times New Roman" w:cs="Times New Roman"/>
          <w:sz w:val="24"/>
          <w:szCs w:val="24"/>
        </w:rPr>
        <w:t xml:space="preserve"> </w:t>
      </w:r>
      <w:r w:rsidRPr="003D20F2">
        <w:rPr>
          <w:rFonts w:ascii="Times New Roman" w:hAnsi="Times New Roman" w:cs="Times New Roman"/>
          <w:sz w:val="24"/>
          <w:szCs w:val="24"/>
        </w:rPr>
        <w:t xml:space="preserve">Tutto questo per </w:t>
      </w:r>
      <w:r w:rsidRPr="003D20F2">
        <w:rPr>
          <w:rFonts w:ascii="Times New Roman" w:hAnsi="Times New Roman" w:cs="Times New Roman"/>
          <w:i/>
          <w:iCs/>
          <w:sz w:val="24"/>
          <w:szCs w:val="24"/>
        </w:rPr>
        <w:t xml:space="preserve">l’assenza della garanzia per vizi del bene venduto, </w:t>
      </w:r>
      <w:r w:rsidRPr="003D20F2">
        <w:rPr>
          <w:rFonts w:ascii="Times New Roman" w:hAnsi="Times New Roman" w:cs="Times New Roman"/>
          <w:sz w:val="24"/>
          <w:szCs w:val="24"/>
        </w:rPr>
        <w:t>come dettato</w:t>
      </w:r>
      <w:r w:rsidR="00D75426">
        <w:rPr>
          <w:rFonts w:ascii="Times New Roman" w:hAnsi="Times New Roman" w:cs="Times New Roman"/>
          <w:sz w:val="24"/>
          <w:szCs w:val="24"/>
        </w:rPr>
        <w:t xml:space="preserve"> </w:t>
      </w:r>
      <w:r w:rsidRPr="003D20F2">
        <w:rPr>
          <w:rFonts w:ascii="Times New Roman" w:hAnsi="Times New Roman" w:cs="Times New Roman"/>
          <w:sz w:val="24"/>
          <w:szCs w:val="24"/>
        </w:rPr>
        <w:t>dall’art. 568 comma 2 del Codice di Procedura Civile.</w:t>
      </w:r>
    </w:p>
    <w:p w14:paraId="4263331A" w14:textId="1237DF59" w:rsidR="00D75426" w:rsidRPr="00D75426" w:rsidRDefault="00D75426" w:rsidP="00D75426">
      <w:pPr>
        <w:autoSpaceDE w:val="0"/>
        <w:autoSpaceDN w:val="0"/>
        <w:adjustRightInd w:val="0"/>
        <w:jc w:val="both"/>
        <w:rPr>
          <w:rFonts w:ascii="Times New Roman" w:hAnsi="Times New Roman" w:cs="Times New Roman"/>
          <w:sz w:val="24"/>
          <w:szCs w:val="24"/>
        </w:rPr>
      </w:pPr>
      <w:r w:rsidRPr="00D75426">
        <w:rPr>
          <w:rFonts w:ascii="Times New Roman" w:hAnsi="Times New Roman" w:cs="Times New Roman"/>
          <w:sz w:val="24"/>
          <w:szCs w:val="24"/>
        </w:rPr>
        <w:t>Si precisa come tutti calcoli esposti nella stesura della valutazione siano propedeutici alla</w:t>
      </w:r>
      <w:r>
        <w:rPr>
          <w:rFonts w:ascii="Times New Roman" w:hAnsi="Times New Roman" w:cs="Times New Roman"/>
          <w:sz w:val="24"/>
          <w:szCs w:val="24"/>
        </w:rPr>
        <w:t xml:space="preserve"> </w:t>
      </w:r>
      <w:r w:rsidRPr="00D75426">
        <w:rPr>
          <w:rFonts w:ascii="Times New Roman" w:hAnsi="Times New Roman" w:cs="Times New Roman"/>
          <w:sz w:val="24"/>
          <w:szCs w:val="24"/>
        </w:rPr>
        <w:t>definizione del valore di stima che sarà utile per la definizione del prezzo a base d'asta, ma che gli</w:t>
      </w:r>
      <w:r>
        <w:rPr>
          <w:rFonts w:ascii="Times New Roman" w:hAnsi="Times New Roman" w:cs="Times New Roman"/>
          <w:sz w:val="24"/>
          <w:szCs w:val="24"/>
        </w:rPr>
        <w:t xml:space="preserve"> </w:t>
      </w:r>
      <w:r w:rsidRPr="00D75426">
        <w:rPr>
          <w:rFonts w:ascii="Times New Roman" w:hAnsi="Times New Roman" w:cs="Times New Roman"/>
          <w:sz w:val="24"/>
          <w:szCs w:val="24"/>
        </w:rPr>
        <w:t>stessi non sono da ritenersi vincolanti in quanto il futuro aggiudicatario acquisterà l'immobile a</w:t>
      </w:r>
      <w:r>
        <w:rPr>
          <w:rFonts w:ascii="Times New Roman" w:hAnsi="Times New Roman" w:cs="Times New Roman"/>
          <w:sz w:val="24"/>
          <w:szCs w:val="24"/>
        </w:rPr>
        <w:t xml:space="preserve"> </w:t>
      </w:r>
      <w:r w:rsidRPr="00D75426">
        <w:rPr>
          <w:rFonts w:ascii="Times New Roman" w:hAnsi="Times New Roman" w:cs="Times New Roman"/>
          <w:sz w:val="24"/>
          <w:szCs w:val="24"/>
        </w:rPr>
        <w:t>corpo e non a misura nello stato di fatto a lui conosciuto sia attraverso il rapporto di valutazione, ma</w:t>
      </w:r>
      <w:r>
        <w:rPr>
          <w:rFonts w:ascii="Times New Roman" w:hAnsi="Times New Roman" w:cs="Times New Roman"/>
          <w:sz w:val="24"/>
          <w:szCs w:val="24"/>
        </w:rPr>
        <w:t xml:space="preserve"> </w:t>
      </w:r>
      <w:r w:rsidRPr="00D75426">
        <w:rPr>
          <w:rFonts w:ascii="Times New Roman" w:hAnsi="Times New Roman" w:cs="Times New Roman"/>
          <w:sz w:val="24"/>
          <w:szCs w:val="24"/>
        </w:rPr>
        <w:t>soprattutto a seguito di sopralluogo da eseguirsi prima dell'offerta d'acquisto.</w:t>
      </w:r>
    </w:p>
    <w:p w14:paraId="72AC3F17" w14:textId="77777777" w:rsidR="00D75426" w:rsidRPr="00D75426" w:rsidRDefault="00D75426" w:rsidP="00D75426">
      <w:pPr>
        <w:autoSpaceDE w:val="0"/>
        <w:autoSpaceDN w:val="0"/>
        <w:adjustRightInd w:val="0"/>
        <w:jc w:val="both"/>
        <w:rPr>
          <w:rFonts w:ascii="Times New Roman" w:hAnsi="Times New Roman" w:cs="Times New Roman"/>
          <w:b/>
          <w:bCs/>
          <w:sz w:val="24"/>
          <w:szCs w:val="24"/>
        </w:rPr>
      </w:pPr>
      <w:r w:rsidRPr="00D75426">
        <w:rPr>
          <w:rFonts w:ascii="Times New Roman" w:hAnsi="Times New Roman" w:cs="Times New Roman"/>
          <w:b/>
          <w:bCs/>
          <w:sz w:val="24"/>
          <w:szCs w:val="24"/>
        </w:rPr>
        <w:t>Il più probabile valore di mercato specifico, alle condizioni attuali, della P.M. 8 della P.ED.</w:t>
      </w:r>
    </w:p>
    <w:p w14:paraId="54FD3C9B" w14:textId="77777777" w:rsidR="00D75426" w:rsidRPr="00D75426" w:rsidRDefault="00D75426" w:rsidP="00D75426">
      <w:pPr>
        <w:autoSpaceDE w:val="0"/>
        <w:autoSpaceDN w:val="0"/>
        <w:adjustRightInd w:val="0"/>
        <w:jc w:val="both"/>
        <w:rPr>
          <w:rFonts w:ascii="Times New Roman" w:hAnsi="Times New Roman" w:cs="Times New Roman"/>
          <w:b/>
          <w:bCs/>
          <w:sz w:val="24"/>
          <w:szCs w:val="24"/>
        </w:rPr>
      </w:pPr>
      <w:r w:rsidRPr="00D75426">
        <w:rPr>
          <w:rFonts w:ascii="Times New Roman" w:hAnsi="Times New Roman" w:cs="Times New Roman"/>
          <w:b/>
          <w:bCs/>
          <w:sz w:val="24"/>
          <w:szCs w:val="24"/>
        </w:rPr>
        <w:t>2641 del Comune Catastale di Borgo Valsugana, sita in Via Sotto Samonte, che individua due</w:t>
      </w:r>
    </w:p>
    <w:p w14:paraId="120AEBD7" w14:textId="77777777" w:rsidR="00D75426" w:rsidRPr="00D75426" w:rsidRDefault="00D75426" w:rsidP="00D75426">
      <w:pPr>
        <w:autoSpaceDE w:val="0"/>
        <w:autoSpaceDN w:val="0"/>
        <w:adjustRightInd w:val="0"/>
        <w:jc w:val="both"/>
        <w:rPr>
          <w:rFonts w:ascii="Times New Roman" w:hAnsi="Times New Roman" w:cs="Times New Roman"/>
          <w:b/>
          <w:bCs/>
          <w:sz w:val="24"/>
          <w:szCs w:val="24"/>
        </w:rPr>
      </w:pPr>
      <w:r w:rsidRPr="00D75426">
        <w:rPr>
          <w:rFonts w:ascii="Times New Roman" w:hAnsi="Times New Roman" w:cs="Times New Roman"/>
          <w:b/>
          <w:bCs/>
          <w:sz w:val="24"/>
          <w:szCs w:val="24"/>
        </w:rPr>
        <w:t>ripostigli della superficie utile di circa 30 mq, è valutato complessivamente in:</w:t>
      </w:r>
    </w:p>
    <w:p w14:paraId="073E4A30" w14:textId="37A4CFAD" w:rsidR="002040B1" w:rsidRPr="00D75426" w:rsidRDefault="00D75426" w:rsidP="00D75426">
      <w:pPr>
        <w:autoSpaceDE w:val="0"/>
        <w:autoSpaceDN w:val="0"/>
        <w:adjustRightInd w:val="0"/>
        <w:jc w:val="both"/>
        <w:rPr>
          <w:rFonts w:ascii="Times New Roman" w:hAnsi="Times New Roman" w:cs="Times New Roman"/>
          <w:b/>
          <w:bCs/>
          <w:sz w:val="24"/>
          <w:szCs w:val="24"/>
        </w:rPr>
      </w:pPr>
      <w:r w:rsidRPr="00D75426">
        <w:rPr>
          <w:rFonts w:ascii="Times New Roman" w:hAnsi="Times New Roman" w:cs="Times New Roman"/>
          <w:b/>
          <w:bCs/>
          <w:sz w:val="24"/>
          <w:szCs w:val="24"/>
        </w:rPr>
        <w:t>VALORE COMPLESSIVO A: € 7.500,00</w:t>
      </w:r>
      <w:r>
        <w:rPr>
          <w:rFonts w:ascii="Times New Roman" w:hAnsi="Times New Roman" w:cs="Times New Roman"/>
          <w:b/>
          <w:bCs/>
          <w:sz w:val="24"/>
          <w:szCs w:val="24"/>
        </w:rPr>
        <w:t xml:space="preserve"> </w:t>
      </w:r>
      <w:r w:rsidRPr="00D75426">
        <w:rPr>
          <w:rFonts w:ascii="Times New Roman" w:hAnsi="Times New Roman" w:cs="Times New Roman"/>
          <w:b/>
          <w:bCs/>
          <w:sz w:val="24"/>
          <w:szCs w:val="24"/>
        </w:rPr>
        <w:t>(Euro settemilacinquecento</w:t>
      </w:r>
      <w:r w:rsidR="00761FBA">
        <w:rPr>
          <w:rFonts w:ascii="Times New Roman" w:hAnsi="Times New Roman" w:cs="Times New Roman"/>
          <w:b/>
          <w:bCs/>
          <w:sz w:val="24"/>
          <w:szCs w:val="24"/>
        </w:rPr>
        <w:t>/00</w:t>
      </w:r>
      <w:r>
        <w:rPr>
          <w:rFonts w:ascii="Times New Roman" w:hAnsi="Times New Roman" w:cs="Times New Roman"/>
          <w:b/>
          <w:bCs/>
          <w:sz w:val="24"/>
          <w:szCs w:val="24"/>
        </w:rPr>
        <w:t>)</w:t>
      </w:r>
    </w:p>
    <w:p w14:paraId="1063FF47" w14:textId="77777777" w:rsidR="002040B1" w:rsidRDefault="002040B1" w:rsidP="005B1DF5">
      <w:pPr>
        <w:widowControl w:val="0"/>
        <w:pBdr>
          <w:top w:val="nil"/>
          <w:left w:val="nil"/>
          <w:bottom w:val="nil"/>
          <w:right w:val="nil"/>
          <w:between w:val="nil"/>
        </w:pBdr>
        <w:ind w:right="754"/>
        <w:jc w:val="both"/>
        <w:rPr>
          <w:rFonts w:ascii="Times New Roman" w:eastAsia="Times New Roman" w:hAnsi="Times New Roman" w:cs="Times New Roman"/>
          <w:b/>
          <w:bCs/>
          <w:color w:val="000000"/>
          <w:sz w:val="24"/>
          <w:szCs w:val="24"/>
        </w:rPr>
      </w:pPr>
    </w:p>
    <w:p w14:paraId="7731B5D6" w14:textId="5B2CC731" w:rsidR="005B1DF5" w:rsidRPr="002040B1" w:rsidRDefault="005B1DF5" w:rsidP="002040B1">
      <w:pPr>
        <w:widowControl w:val="0"/>
        <w:pBdr>
          <w:top w:val="nil"/>
          <w:left w:val="nil"/>
          <w:bottom w:val="nil"/>
          <w:right w:val="nil"/>
          <w:between w:val="nil"/>
        </w:pBdr>
        <w:ind w:right="754"/>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Disponibilità del bene</w:t>
      </w:r>
      <w:r w:rsidRPr="009E5053">
        <w:rPr>
          <w:rFonts w:ascii="Times New Roman" w:eastAsia="Times New Roman" w:hAnsi="Times New Roman" w:cs="Times New Roman"/>
          <w:color w:val="000000"/>
          <w:sz w:val="24"/>
          <w:szCs w:val="24"/>
        </w:rPr>
        <w:t>: Il bene risulta essere libero.</w:t>
      </w:r>
    </w:p>
    <w:p w14:paraId="6E4FE797" w14:textId="2F3F912D" w:rsid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Prezzo base: Euro </w:t>
      </w:r>
      <w:r w:rsidR="00D75426">
        <w:rPr>
          <w:rFonts w:ascii="Times New Roman" w:eastAsia="Times New Roman" w:hAnsi="Times New Roman" w:cs="Times New Roman"/>
          <w:b/>
          <w:bCs/>
          <w:color w:val="000000"/>
          <w:sz w:val="24"/>
          <w:szCs w:val="24"/>
        </w:rPr>
        <w:t>7.500</w:t>
      </w:r>
      <w:r w:rsidRPr="009E5053">
        <w:rPr>
          <w:rFonts w:ascii="Times New Roman" w:eastAsia="Times New Roman" w:hAnsi="Times New Roman" w:cs="Times New Roman"/>
          <w:b/>
          <w:bCs/>
          <w:color w:val="000000"/>
          <w:sz w:val="24"/>
          <w:szCs w:val="24"/>
        </w:rPr>
        <w:t xml:space="preserve">,00 </w:t>
      </w:r>
    </w:p>
    <w:p w14:paraId="4B745242" w14:textId="23E6F4F4" w:rsidR="005B1DF5" w:rsidRP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Cauzione: </w:t>
      </w:r>
      <w:r w:rsidRPr="009E5053">
        <w:rPr>
          <w:rFonts w:ascii="Times New Roman" w:eastAsia="Times New Roman" w:hAnsi="Times New Roman" w:cs="Times New Roman"/>
          <w:color w:val="000000"/>
          <w:sz w:val="24"/>
          <w:szCs w:val="24"/>
        </w:rPr>
        <w:t>pari al 10% del prezzo offerto</w:t>
      </w:r>
      <w:r w:rsidRPr="009E5053">
        <w:rPr>
          <w:rFonts w:ascii="Times New Roman" w:eastAsia="Times New Roman" w:hAnsi="Times New Roman" w:cs="Times New Roman"/>
          <w:b/>
          <w:bCs/>
          <w:color w:val="000000"/>
          <w:sz w:val="24"/>
          <w:szCs w:val="24"/>
        </w:rPr>
        <w:t xml:space="preserve">. </w:t>
      </w:r>
    </w:p>
    <w:p w14:paraId="48849DFF" w14:textId="77777777"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Diritti d’asta: </w:t>
      </w:r>
      <w:r w:rsidRPr="009E5053">
        <w:rPr>
          <w:rFonts w:ascii="Times New Roman" w:eastAsia="Times New Roman" w:hAnsi="Times New Roman" w:cs="Times New Roman"/>
          <w:color w:val="000000"/>
          <w:sz w:val="24"/>
          <w:szCs w:val="24"/>
        </w:rPr>
        <w:t xml:space="preserve">pari al 5% del prezzo offerto </w:t>
      </w:r>
    </w:p>
    <w:p w14:paraId="22AE0852" w14:textId="79123475"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Rilancio minimo di gara: Euro </w:t>
      </w:r>
      <w:r w:rsidR="00954AA6">
        <w:rPr>
          <w:rFonts w:ascii="Times New Roman" w:eastAsia="Times New Roman" w:hAnsi="Times New Roman" w:cs="Times New Roman"/>
          <w:b/>
          <w:bCs/>
          <w:color w:val="000000"/>
          <w:sz w:val="24"/>
          <w:szCs w:val="24"/>
        </w:rPr>
        <w:t>1.000</w:t>
      </w:r>
      <w:r w:rsidRPr="009E5053">
        <w:rPr>
          <w:rFonts w:ascii="Times New Roman" w:eastAsia="Times New Roman" w:hAnsi="Times New Roman" w:cs="Times New Roman"/>
          <w:b/>
          <w:bCs/>
          <w:color w:val="000000"/>
          <w:sz w:val="24"/>
          <w:szCs w:val="24"/>
        </w:rPr>
        <w:t xml:space="preserve">,00  </w:t>
      </w:r>
    </w:p>
    <w:p w14:paraId="7180FC87" w14:textId="77777777" w:rsidR="005B1DF5" w:rsidRDefault="005B1DF5" w:rsidP="00240ECC">
      <w:pPr>
        <w:widowControl w:val="0"/>
        <w:pBdr>
          <w:top w:val="nil"/>
          <w:left w:val="nil"/>
          <w:bottom w:val="nil"/>
          <w:right w:val="nil"/>
          <w:between w:val="nil"/>
        </w:pBdr>
        <w:jc w:val="both"/>
        <w:rPr>
          <w:rFonts w:ascii="Times New Roman" w:eastAsia="Times New Roman" w:hAnsi="Times New Roman" w:cs="Times New Roman"/>
          <w:b/>
          <w:bCs/>
          <w:color w:val="000000"/>
          <w:sz w:val="25"/>
          <w:szCs w:val="25"/>
        </w:rPr>
      </w:pPr>
    </w:p>
    <w:p w14:paraId="1BF67FDA" w14:textId="596B771F" w:rsidR="00240ECC" w:rsidRPr="00240ECC" w:rsidRDefault="00240ECC" w:rsidP="00240ECC">
      <w:pPr>
        <w:widowControl w:val="0"/>
        <w:pBdr>
          <w:top w:val="nil"/>
          <w:left w:val="nil"/>
          <w:bottom w:val="nil"/>
          <w:right w:val="nil"/>
          <w:between w:val="nil"/>
        </w:pBdr>
        <w:jc w:val="center"/>
        <w:rPr>
          <w:rFonts w:ascii="Times New Roman" w:eastAsia="Times New Roman" w:hAnsi="Times New Roman" w:cs="Times New Roman"/>
          <w:b/>
          <w:bCs/>
          <w:color w:val="000000"/>
          <w:sz w:val="25"/>
          <w:szCs w:val="25"/>
        </w:rPr>
      </w:pPr>
      <w:r>
        <w:rPr>
          <w:rFonts w:ascii="Times New Roman" w:eastAsia="Times New Roman" w:hAnsi="Times New Roman" w:cs="Times New Roman"/>
          <w:b/>
          <w:bCs/>
          <w:color w:val="000000"/>
          <w:sz w:val="24"/>
          <w:szCs w:val="24"/>
        </w:rPr>
        <w:t>DETERMINA</w:t>
      </w:r>
    </w:p>
    <w:p w14:paraId="5A938AA9"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seguito le modalità di svolgimento della procedura competitiva e le principali condizioni di vendita. </w:t>
      </w:r>
    </w:p>
    <w:p w14:paraId="37659EA1" w14:textId="77777777" w:rsidR="00240ECC" w:rsidRDefault="00240ECC" w:rsidP="00240ECC">
      <w:pPr>
        <w:widowControl w:val="0"/>
        <w:pBdr>
          <w:top w:val="nil"/>
          <w:left w:val="nil"/>
          <w:bottom w:val="nil"/>
          <w:right w:val="nil"/>
          <w:between w:val="nil"/>
        </w:pBdr>
        <w:spacing w:before="27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 Contenuto dell’offerta ed allegati </w:t>
      </w:r>
    </w:p>
    <w:p w14:paraId="508355C3" w14:textId="77777777" w:rsidR="00240ECC" w:rsidRDefault="00240ECC" w:rsidP="00240ECC">
      <w:pPr>
        <w:widowControl w:val="0"/>
        <w:pBdr>
          <w:top w:val="nil"/>
          <w:left w:val="nil"/>
          <w:bottom w:val="nil"/>
          <w:right w:val="nil"/>
          <w:between w:val="nil"/>
        </w:pBdr>
        <w:ind w:right="2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partecipare alla procedura competitiva di vendita ciascun interessato dovrà depositare un’offerta di acquisto per il lotto unico, come meglio sopra individuato, che intende acquistare ad un prezzo non inferiore al prezzo base di vendita. </w:t>
      </w:r>
    </w:p>
    <w:p w14:paraId="7C3BEFC2"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si svolgerà nella modalità sincrona mista così come definita dall’art. 2 del DM 32/2015 che prevede che i rilanci possono essere formulati sia in modalità cartacea che in modalità telematica. L’offerta di acquisto può essere presentata: </w:t>
      </w:r>
    </w:p>
    <w:p w14:paraId="4706039F"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in modalità telematica, previo accesso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selezione del bene di interesse e, tramite il comando “Iscriviti alla vendita”, compilazione del modulo ministeriale di “presentazione offerta. Il “Manuale utente per la presentazione dell’Offerta Telematica” indicante tutti i passaggi necessari per completare la procedura di presentazione dell’offerta in modalità telematica è disponibile nel sito ufficiale del Ministero al seguente indirizzo: https://pst.giustizia.it/PST/resources/cms/documents/ManualeUtenteOfferta06_08_2021.pdf; oppure </w:t>
      </w:r>
    </w:p>
    <w:p w14:paraId="103390A7" w14:textId="50361D11" w:rsidR="00240ECC" w:rsidRP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cartacea, come meglio descritto al punto 2 del presente avviso, presso </w:t>
      </w:r>
      <w:r>
        <w:rPr>
          <w:rFonts w:ascii="Times New Roman" w:eastAsia="Times New Roman" w:hAnsi="Times New Roman" w:cs="Times New Roman"/>
          <w:b/>
          <w:bCs/>
          <w:color w:val="000000"/>
          <w:sz w:val="24"/>
          <w:szCs w:val="24"/>
        </w:rPr>
        <w:t xml:space="preserve">IVGT S.r.l., in Trento, Via Fersina 12/A. </w:t>
      </w:r>
    </w:p>
    <w:p w14:paraId="25412040" w14:textId="77777777" w:rsidR="00240ECC" w:rsidRDefault="00240ECC" w:rsidP="00240ECC">
      <w:pPr>
        <w:widowControl w:val="0"/>
        <w:pBdr>
          <w:top w:val="nil"/>
          <w:left w:val="nil"/>
          <w:bottom w:val="nil"/>
          <w:right w:val="nil"/>
          <w:between w:val="nil"/>
        </w:pBdr>
        <w:spacing w:before="282"/>
        <w:ind w:right="242"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offerenti telematici, ovvero che hanno formulato l’offerta con modalità telematiche, partecipano alle operazioni di vendita mediante la connessione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Tra 120 e 180 minuti prima della gara le offerte verranno trasmesse al gestore della vendita. Gli ammessi alla gara riceveranno, 30 minuti prima dell’inizio delle operazioni di vendita, all’indirizzo PEC indicato nel modulo ministeriale di offerta, le credenziali per accedere alla vendita in oggetto. Un ulteriore invito a connettersi per partecipare alle operazioni di vendita verrà trasmesso a mezzo SMS al recapito di telefonia mobile fornito nell’offerta.  </w:t>
      </w:r>
    </w:p>
    <w:p w14:paraId="4E7EF8F6" w14:textId="77777777" w:rsidR="00240ECC" w:rsidRDefault="00240ECC" w:rsidP="00240ECC">
      <w:pPr>
        <w:widowControl w:val="0"/>
        <w:pBdr>
          <w:top w:val="nil"/>
          <w:left w:val="nil"/>
          <w:bottom w:val="nil"/>
          <w:right w:val="nil"/>
          <w:between w:val="nil"/>
        </w:pBdr>
        <w:spacing w:before="6"/>
        <w:ind w:right="246"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assistenza in merito alla presentazione delle offerte in modalità telematica si potrà contattare il numero 0444 346211 o scrivere all’indirizzo </w:t>
      </w:r>
      <w:r>
        <w:rPr>
          <w:rFonts w:ascii="Times New Roman" w:eastAsia="Times New Roman" w:hAnsi="Times New Roman" w:cs="Times New Roman"/>
          <w:color w:val="0563C1"/>
          <w:sz w:val="24"/>
          <w:szCs w:val="24"/>
          <w:u w:val="single"/>
        </w:rPr>
        <w:t>help@fallco.it.</w:t>
      </w:r>
    </w:p>
    <w:p w14:paraId="7821DAAB" w14:textId="77777777" w:rsidR="00240ECC" w:rsidRDefault="00240ECC" w:rsidP="00240ECC">
      <w:pPr>
        <w:widowControl w:val="0"/>
        <w:pBdr>
          <w:top w:val="nil"/>
          <w:left w:val="nil"/>
          <w:bottom w:val="nil"/>
          <w:right w:val="nil"/>
          <w:between w:val="nil"/>
        </w:pBdr>
        <w:ind w:right="2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Il Commissionario potrà inviare messaggi a tutti i partecipanti, ovvero solo ad alcuni di questi, per avvisarli circa la tempistica di inizio della gara o per altre comunicazioni. I messaggi saranno visualizzati dai partecipanti nella pagina della vendita</w:t>
      </w:r>
      <w:r>
        <w:rPr>
          <w:rFonts w:ascii="Times New Roman" w:eastAsia="Times New Roman" w:hAnsi="Times New Roman" w:cs="Times New Roman"/>
          <w:i/>
          <w:iCs/>
          <w:color w:val="000000"/>
          <w:sz w:val="24"/>
          <w:szCs w:val="24"/>
        </w:rPr>
        <w:t xml:space="preserve">. </w:t>
      </w:r>
    </w:p>
    <w:p w14:paraId="45CEC224" w14:textId="77777777" w:rsidR="00240ECC" w:rsidRDefault="00240ECC" w:rsidP="00240ECC">
      <w:pPr>
        <w:widowControl w:val="0"/>
        <w:pBdr>
          <w:top w:val="nil"/>
          <w:left w:val="nil"/>
          <w:bottom w:val="nil"/>
          <w:right w:val="nil"/>
          <w:between w:val="nil"/>
        </w:pBdr>
        <w:spacing w:before="5"/>
        <w:ind w:right="241"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avrà inizio al termine delle operazioni per l’esame delle offerte, salvo eventuali modifiche che verranno tempestivamente comunicate dal Commissionario al termine dell’apertura delle buste a tutti gli offerenti ammessi alla gara. </w:t>
      </w:r>
    </w:p>
    <w:p w14:paraId="5892EAF2" w14:textId="77777777" w:rsidR="00240ECC" w:rsidRDefault="00240ECC" w:rsidP="00240ECC">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potrà contenere anche l’eventuale riserva di nomina di un terzo (artt. 571, 579 e 583 c.p.c.).  </w:t>
      </w:r>
    </w:p>
    <w:p w14:paraId="17D965DF" w14:textId="77777777" w:rsidR="00575CBE"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dichiarazione di nomina dovrà redigersi in forma di scrittura privata autenticata e, oltre che dall’offerente, dovrà essere sottoscritta anche dal terzo per accettazione della nomina stessa, sia delle condizioni di vendita di cui infra. La riserva dovrà essere sciolta e fatta pervenire al Professionista Delegato non oltre i tre giorni successivi all’aggiudicazione. Le previsioni relative al contenuto e agli allegati dell’offerta sono stabilite a pena d’invalidità della stessa e di esclusione dell’offerente dal successivo svolgimento della procedura competitiva. </w:t>
      </w:r>
    </w:p>
    <w:p w14:paraId="67DABCFA" w14:textId="77777777" w:rsid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2D7D8647" w14:textId="0A25D14A" w:rsidR="00575CBE" w:rsidRP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 Termine e modalità di deposito dell’offerta e della cauzione </w:t>
      </w:r>
    </w:p>
    <w:p w14:paraId="43950F76" w14:textId="77777777" w:rsidR="00575CBE" w:rsidRDefault="00575CBE" w:rsidP="00575CBE">
      <w:pPr>
        <w:widowControl w:val="0"/>
        <w:pBdr>
          <w:top w:val="nil"/>
          <w:left w:val="nil"/>
          <w:bottom w:val="nil"/>
          <w:right w:val="nil"/>
          <w:between w:val="nil"/>
        </w:pBdr>
        <w:ind w:right="297"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versare anticipatamente, a titolo di cauzione, una somma pari almeno al </w:t>
      </w:r>
      <w:r>
        <w:rPr>
          <w:rFonts w:ascii="Times New Roman" w:eastAsia="Times New Roman" w:hAnsi="Times New Roman" w:cs="Times New Roman"/>
          <w:b/>
          <w:bCs/>
          <w:color w:val="000000"/>
          <w:sz w:val="24"/>
          <w:szCs w:val="24"/>
        </w:rPr>
        <w:t xml:space="preserve">dieci per cento (10%) del prezzo offerto, </w:t>
      </w:r>
      <w:r>
        <w:rPr>
          <w:rFonts w:ascii="Times New Roman" w:eastAsia="Times New Roman" w:hAnsi="Times New Roman" w:cs="Times New Roman"/>
          <w:color w:val="000000"/>
          <w:sz w:val="24"/>
          <w:szCs w:val="24"/>
        </w:rPr>
        <w:t xml:space="preserve">tramite: </w:t>
      </w:r>
    </w:p>
    <w:p w14:paraId="7474F90D" w14:textId="7777777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telematico: bonifico bancario sul conto corrente </w:t>
      </w:r>
      <w:r>
        <w:rPr>
          <w:rFonts w:ascii="Times New Roman" w:eastAsia="Times New Roman" w:hAnsi="Times New Roman" w:cs="Times New Roman"/>
          <w:b/>
          <w:bCs/>
          <w:color w:val="000000"/>
          <w:sz w:val="24"/>
          <w:szCs w:val="24"/>
        </w:rPr>
        <w:t>IT 59 Y 03268 60160 052147600000</w:t>
      </w:r>
    </w:p>
    <w:p w14:paraId="487EE826" w14:textId="587AA76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BANCA SELLA </w:t>
      </w:r>
    </w:p>
    <w:p w14:paraId="479CE22E"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cartaceo: tramite assegno circolare intestato </w:t>
      </w:r>
      <w:r>
        <w:rPr>
          <w:rFonts w:ascii="Times New Roman" w:eastAsia="Times New Roman" w:hAnsi="Times New Roman" w:cs="Times New Roman"/>
          <w:b/>
          <w:bCs/>
          <w:color w:val="000000"/>
          <w:sz w:val="24"/>
          <w:szCs w:val="24"/>
        </w:rPr>
        <w:t xml:space="preserve">IVGT SRL </w:t>
      </w:r>
    </w:p>
    <w:p w14:paraId="38C95D9C"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Ulteriore bonifico bancario del 5% </w:t>
      </w:r>
      <w:r>
        <w:rPr>
          <w:rFonts w:ascii="Times New Roman" w:eastAsia="Times New Roman" w:hAnsi="Times New Roman" w:cs="Times New Roman"/>
          <w:color w:val="000000"/>
          <w:sz w:val="24"/>
          <w:szCs w:val="24"/>
        </w:rPr>
        <w:t xml:space="preserve">sul prezzo offerto per </w:t>
      </w:r>
      <w:r>
        <w:rPr>
          <w:rFonts w:ascii="Times New Roman" w:eastAsia="Times New Roman" w:hAnsi="Times New Roman" w:cs="Times New Roman"/>
          <w:b/>
          <w:bCs/>
          <w:color w:val="000000"/>
          <w:sz w:val="24"/>
          <w:szCs w:val="24"/>
        </w:rPr>
        <w:t xml:space="preserve">diritti d’asta sul conto corrente sopra indicato. </w:t>
      </w:r>
    </w:p>
    <w:p w14:paraId="7807E88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p>
    <w:p w14:paraId="6E6A0D28" w14:textId="2018F1FB"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Tale importo sarà trattenuto in caso di decadenza dell’aggiudicatario ex art. 587 c.p.c.  </w:t>
      </w:r>
      <w:r>
        <w:rPr>
          <w:rFonts w:ascii="Times New Roman" w:eastAsia="Times New Roman" w:hAnsi="Times New Roman" w:cs="Times New Roman"/>
          <w:b/>
          <w:bCs/>
          <w:color w:val="000000"/>
          <w:sz w:val="24"/>
          <w:szCs w:val="24"/>
        </w:rPr>
        <w:t xml:space="preserve">Il deposito </w:t>
      </w:r>
      <w:r>
        <w:rPr>
          <w:rFonts w:ascii="Times New Roman" w:eastAsia="Times New Roman" w:hAnsi="Times New Roman" w:cs="Times New Roman"/>
          <w:b/>
          <w:bCs/>
          <w:color w:val="000000"/>
          <w:sz w:val="24"/>
          <w:szCs w:val="24"/>
        </w:rPr>
        <w:lastRenderedPageBreak/>
        <w:t xml:space="preserve">dell’offerta dovrà avvenire entro il giorno 11 DICEMBRE 2026 alle ore 12.00. </w:t>
      </w:r>
    </w:p>
    <w:p w14:paraId="7587B0FD" w14:textId="24C762F7" w:rsidR="00575CBE" w:rsidRDefault="00575CBE" w:rsidP="00575CBE">
      <w:pPr>
        <w:widowControl w:val="0"/>
        <w:pBdr>
          <w:top w:val="nil"/>
          <w:left w:val="nil"/>
          <w:bottom w:val="nil"/>
          <w:right w:val="nil"/>
          <w:between w:val="nil"/>
        </w:pBdr>
        <w:spacing w:before="282"/>
        <w:ind w:right="297" w:firstLine="1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Il bonifico, con causale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xml:space="preserve">. 31/2025 - lotto </w:t>
      </w:r>
      <w:r w:rsidR="0041737B">
        <w:rPr>
          <w:rFonts w:ascii="Times New Roman" w:eastAsia="Times New Roman" w:hAnsi="Times New Roman" w:cs="Times New Roman"/>
          <w:b/>
          <w:bCs/>
          <w:i/>
          <w:iCs/>
          <w:color w:val="000000"/>
          <w:sz w:val="24"/>
          <w:szCs w:val="24"/>
        </w:rPr>
        <w:t>7</w:t>
      </w:r>
      <w:r>
        <w:rPr>
          <w:rFonts w:ascii="Times New Roman" w:eastAsia="Times New Roman" w:hAnsi="Times New Roman" w:cs="Times New Roman"/>
          <w:b/>
          <w:bCs/>
          <w:i/>
          <w:iCs/>
          <w:color w:val="000000"/>
          <w:sz w:val="24"/>
          <w:szCs w:val="24"/>
        </w:rPr>
        <w:t xml:space="preserve"> – Versamento cauzione” </w:t>
      </w:r>
      <w:r>
        <w:rPr>
          <w:rFonts w:ascii="Times New Roman" w:eastAsia="Times New Roman" w:hAnsi="Times New Roman" w:cs="Times New Roman"/>
          <w:color w:val="000000"/>
          <w:sz w:val="24"/>
          <w:szCs w:val="24"/>
        </w:rPr>
        <w:t>ed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31/2025– diritti d’asta”</w:t>
      </w:r>
      <w:r>
        <w:rPr>
          <w:rFonts w:ascii="Times New Roman" w:eastAsia="Times New Roman" w:hAnsi="Times New Roman" w:cs="Times New Roman"/>
          <w:b/>
          <w:bCs/>
          <w:color w:val="000000"/>
          <w:sz w:val="24"/>
          <w:szCs w:val="24"/>
        </w:rPr>
        <w:t xml:space="preserve">, dovranno essere effettuati in modo tale che l’accredito delle somme abbia luogo entro il giorno precedente l’udienza di vendita. </w:t>
      </w:r>
    </w:p>
    <w:p w14:paraId="719DC4AE" w14:textId="77777777" w:rsidR="00575CBE" w:rsidRDefault="00575CBE" w:rsidP="00575CBE">
      <w:pPr>
        <w:widowControl w:val="0"/>
        <w:pBdr>
          <w:top w:val="nil"/>
          <w:left w:val="nil"/>
          <w:bottom w:val="nil"/>
          <w:right w:val="nil"/>
          <w:between w:val="nil"/>
        </w:pBdr>
        <w:spacing w:before="5"/>
        <w:ind w:right="302"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Qualora il giorno fissato per l’udienza di vendita non venga riscontrato l’accredito delle somme sul conto corrente indicato per il versamento delle cauzioni e dei diritti d’asta, l’offerta sarà considerata inammissibile. </w:t>
      </w:r>
    </w:p>
    <w:p w14:paraId="4C8F4145" w14:textId="77777777" w:rsidR="00575CBE" w:rsidRDefault="00575CBE" w:rsidP="00575CBE">
      <w:pPr>
        <w:widowControl w:val="0"/>
        <w:pBdr>
          <w:top w:val="nil"/>
          <w:left w:val="nil"/>
          <w:bottom w:val="nil"/>
          <w:right w:val="nil"/>
          <w:between w:val="nil"/>
        </w:pBdr>
        <w:spacing w:before="282"/>
        <w:ind w:right="298"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telematico deve procedere al pagamento del bollo dovuto per legge (attualmente pari ad € 16,00) in modalità telematica, salvo che sia esentato ai sensi del DPR 447/2000. Il bollo può essere pagato sul portale dei servizi telematici all'indirizzo </w:t>
      </w:r>
      <w:r>
        <w:rPr>
          <w:rFonts w:ascii="Times New Roman" w:eastAsia="Times New Roman" w:hAnsi="Times New Roman" w:cs="Times New Roman"/>
          <w:b/>
          <w:bCs/>
          <w:color w:val="000000"/>
          <w:sz w:val="24"/>
          <w:szCs w:val="24"/>
        </w:rPr>
        <w:t>http://pst.giustizia.it, tramite il servizio “pagamento di bolli digitali", tramite carta di credito o bonifico bancario</w:t>
      </w:r>
      <w:r>
        <w:rPr>
          <w:rFonts w:ascii="Times New Roman" w:eastAsia="Times New Roman" w:hAnsi="Times New Roman" w:cs="Times New Roman"/>
          <w:color w:val="000000"/>
          <w:sz w:val="24"/>
          <w:szCs w:val="24"/>
        </w:rPr>
        <w:t xml:space="preserve">, seguendo le istruzioni indicate nel “manuale utente per la presentazione dell’offerta telematica” reperibile sul sito internet pst.giustizia.it. </w:t>
      </w:r>
    </w:p>
    <w:p w14:paraId="2EC7C9DC" w14:textId="77777777" w:rsidR="00575CBE" w:rsidRDefault="00575CBE" w:rsidP="00575CBE">
      <w:pPr>
        <w:widowControl w:val="0"/>
        <w:pBdr>
          <w:top w:val="nil"/>
          <w:left w:val="nil"/>
          <w:bottom w:val="nil"/>
          <w:right w:val="nil"/>
          <w:between w:val="nil"/>
        </w:pBdr>
        <w:spacing w:before="282"/>
        <w:ind w:right="298"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cartaceo deve procedere al pagamento del bollo dovuto per legge (attualmente pari ad € 16,00) applicando la marca da bollo all’offerta presentata, salvo che sia esentato ai sensi del DPR  447/2000. </w:t>
      </w:r>
    </w:p>
    <w:p w14:paraId="4197D5F0" w14:textId="77777777" w:rsidR="00575CBE" w:rsidRDefault="00575CBE" w:rsidP="00575CBE">
      <w:pPr>
        <w:widowControl w:val="0"/>
        <w:pBdr>
          <w:top w:val="nil"/>
          <w:left w:val="nil"/>
          <w:bottom w:val="nil"/>
          <w:right w:val="nil"/>
          <w:between w:val="nil"/>
        </w:pBdr>
        <w:spacing w:before="6"/>
        <w:ind w:right="3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mancata aggiudicazione e all’esito dell’avvio della gara in caso di plurimi offerenti, l’importo versato a titolo di cauzione (al netto degli eventuali oneri bancari) sarà restituito ai soggetti offerenti non aggiudicatari. </w:t>
      </w:r>
    </w:p>
    <w:p w14:paraId="78F729EE" w14:textId="77777777" w:rsidR="00575CBE" w:rsidRDefault="00575CBE" w:rsidP="00575CBE">
      <w:pPr>
        <w:widowControl w:val="0"/>
        <w:pBdr>
          <w:top w:val="nil"/>
          <w:left w:val="nil"/>
          <w:bottom w:val="nil"/>
          <w:right w:val="nil"/>
          <w:between w:val="nil"/>
        </w:pBdr>
        <w:spacing w:before="281"/>
        <w:ind w:right="304"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l’offerente telematico, la restituzione avrà luogo esclusivamente mediante bonifico sul conto corrente indicato nel modulo di offerta.</w:t>
      </w:r>
    </w:p>
    <w:p w14:paraId="3D10962F" w14:textId="77777777" w:rsidR="00575CBE" w:rsidRDefault="00575CBE" w:rsidP="00575CBE">
      <w:pPr>
        <w:widowControl w:val="0"/>
        <w:pBdr>
          <w:top w:val="nil"/>
          <w:left w:val="nil"/>
          <w:bottom w:val="nil"/>
          <w:right w:val="nil"/>
          <w:between w:val="nil"/>
        </w:pBdr>
        <w:ind w:right="305"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è irrevocabile ai sensi dell’art. 571 comma 3 c.p.c., che si richiama al fine della validità e dell’efficacia della medesima. </w:t>
      </w:r>
    </w:p>
    <w:p w14:paraId="405E5354" w14:textId="77777777" w:rsidR="00575CBE" w:rsidRDefault="00575CBE" w:rsidP="00575CBE">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All’offerta, sia cartacea che telematica, dovranno essere allegati: </w:t>
      </w:r>
    </w:p>
    <w:p w14:paraId="7DAF9793" w14:textId="77777777" w:rsidR="00575CBE" w:rsidRDefault="00575CBE" w:rsidP="00575CBE">
      <w:pPr>
        <w:widowControl w:val="0"/>
        <w:pBdr>
          <w:top w:val="nil"/>
          <w:left w:val="nil"/>
          <w:bottom w:val="nil"/>
          <w:right w:val="nil"/>
          <w:between w:val="nil"/>
        </w:pBdr>
        <w:ind w:right="18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copia del documento d’identità e copia del codice fiscale del soggetto offerente; - l’importo offerto per l’acquisto del bene; </w:t>
      </w:r>
    </w:p>
    <w:p w14:paraId="5456EF57" w14:textId="77777777" w:rsidR="00575CBE" w:rsidRDefault="00575CBE" w:rsidP="00575CBE">
      <w:pPr>
        <w:widowControl w:val="0"/>
        <w:pBdr>
          <w:top w:val="nil"/>
          <w:left w:val="nil"/>
          <w:bottom w:val="nil"/>
          <w:right w:val="nil"/>
          <w:between w:val="nil"/>
        </w:pBdr>
        <w:spacing w:before="6"/>
        <w:ind w:right="299"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documentazione, attestante il versamento (segnatamente, </w:t>
      </w:r>
      <w:r>
        <w:rPr>
          <w:rFonts w:ascii="Times New Roman" w:eastAsia="Times New Roman" w:hAnsi="Times New Roman" w:cs="Times New Roman"/>
          <w:color w:val="000000"/>
          <w:sz w:val="24"/>
          <w:szCs w:val="24"/>
          <w:u w:val="single"/>
        </w:rPr>
        <w:t xml:space="preserve">copia della contabile di avvenuto </w:t>
      </w:r>
      <w:r>
        <w:rPr>
          <w:rFonts w:ascii="Times New Roman" w:eastAsia="Times New Roman" w:hAnsi="Times New Roman" w:cs="Times New Roman"/>
          <w:color w:val="000000"/>
          <w:sz w:val="24"/>
          <w:szCs w:val="24"/>
        </w:rPr>
        <w:t>pagamento</w:t>
      </w:r>
      <w:r>
        <w:rPr>
          <w:rFonts w:ascii="Times New Roman" w:eastAsia="Times New Roman" w:hAnsi="Times New Roman" w:cs="Times New Roman"/>
          <w:color w:val="000000"/>
          <w:sz w:val="24"/>
          <w:szCs w:val="24"/>
          <w:u w:val="single"/>
        </w:rPr>
        <w:t xml:space="preserve"> oppure assegno circolare</w:t>
      </w:r>
      <w:r>
        <w:rPr>
          <w:rFonts w:ascii="Times New Roman" w:eastAsia="Times New Roman" w:hAnsi="Times New Roman" w:cs="Times New Roman"/>
          <w:color w:val="000000"/>
          <w:sz w:val="24"/>
          <w:szCs w:val="24"/>
        </w:rPr>
        <w:t xml:space="preserve">): </w:t>
      </w:r>
    </w:p>
    <w:p w14:paraId="2628D012" w14:textId="77777777" w:rsidR="00575CBE" w:rsidRDefault="00575CBE" w:rsidP="00575CBE">
      <w:pPr>
        <w:widowControl w:val="0"/>
        <w:pBdr>
          <w:top w:val="nil"/>
          <w:left w:val="nil"/>
          <w:bottom w:val="nil"/>
          <w:right w:val="nil"/>
          <w:between w:val="nil"/>
        </w:pBdr>
        <w:spacing w:before="6"/>
        <w:ind w:right="29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richiesta di agevolazioni fiscali (c.d. “prima casa” e/o “prezzo valore”), salva la facoltà di depositarla successivamente all’aggiudicazione ma </w:t>
      </w:r>
      <w:r>
        <w:rPr>
          <w:rFonts w:ascii="Times New Roman" w:eastAsia="Times New Roman" w:hAnsi="Times New Roman" w:cs="Times New Roman"/>
          <w:color w:val="000000"/>
          <w:sz w:val="24"/>
          <w:szCs w:val="24"/>
          <w:u w:val="single"/>
        </w:rPr>
        <w:t>prima</w:t>
      </w:r>
      <w:r>
        <w:rPr>
          <w:rFonts w:ascii="Times New Roman" w:eastAsia="Times New Roman" w:hAnsi="Times New Roman" w:cs="Times New Roman"/>
          <w:color w:val="000000"/>
          <w:sz w:val="24"/>
          <w:szCs w:val="24"/>
        </w:rPr>
        <w:t xml:space="preserve"> del versamento del saldo prezzo (unitamente al quale dovranno essere depositate le spese a carico dell’aggiudicatario </w:t>
      </w:r>
      <w:r>
        <w:rPr>
          <w:rFonts w:ascii="Times New Roman" w:eastAsia="Times New Roman" w:hAnsi="Times New Roman" w:cs="Times New Roman"/>
          <w:i/>
          <w:iCs/>
          <w:color w:val="000000"/>
          <w:sz w:val="24"/>
          <w:szCs w:val="24"/>
        </w:rPr>
        <w:t xml:space="preserve">ex </w:t>
      </w:r>
      <w:r>
        <w:rPr>
          <w:rFonts w:ascii="Times New Roman" w:eastAsia="Times New Roman" w:hAnsi="Times New Roman" w:cs="Times New Roman"/>
          <w:color w:val="000000"/>
          <w:sz w:val="24"/>
          <w:szCs w:val="24"/>
        </w:rPr>
        <w:t xml:space="preserve">art.2, comma settimo del D.M. 227/2015); </w:t>
      </w:r>
    </w:p>
    <w:p w14:paraId="06C318DC" w14:textId="77777777" w:rsidR="00575CBE" w:rsidRDefault="00575CBE" w:rsidP="00575CBE">
      <w:pPr>
        <w:widowControl w:val="0"/>
        <w:pBdr>
          <w:top w:val="nil"/>
          <w:left w:val="nil"/>
          <w:bottom w:val="nil"/>
          <w:right w:val="nil"/>
          <w:between w:val="nil"/>
        </w:pBdr>
        <w:spacing w:before="6"/>
        <w:ind w:right="29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coniugato, in regime di comunione legale dei beni, copia del documento d’identità e copia del codice fiscale del coniuge (salva la facoltà del deposito successivo all’esito dell’aggiudicazione e del versamento del prezzo); </w:t>
      </w:r>
    </w:p>
    <w:p w14:paraId="059D6CFE" w14:textId="77777777" w:rsidR="00575CBE" w:rsidRDefault="00575CBE" w:rsidP="00575CBE">
      <w:pPr>
        <w:widowControl w:val="0"/>
        <w:pBdr>
          <w:top w:val="nil"/>
          <w:left w:val="nil"/>
          <w:bottom w:val="nil"/>
          <w:right w:val="nil"/>
          <w:between w:val="nil"/>
        </w:pBdr>
        <w:spacing w:before="6"/>
        <w:ind w:right="304"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minorenne, copia del documento d’identità e copia del codice fiscale del soggetto offerente e del soggetto che sottoscrive l’offerta, nonché copia del provvedimento di autorizzazione; </w:t>
      </w:r>
    </w:p>
    <w:p w14:paraId="036B012D" w14:textId="77777777" w:rsidR="00575CBE" w:rsidRDefault="00575CBE" w:rsidP="00575CBE">
      <w:pPr>
        <w:widowControl w:val="0"/>
        <w:pBdr>
          <w:top w:val="nil"/>
          <w:left w:val="nil"/>
          <w:bottom w:val="nil"/>
          <w:right w:val="nil"/>
          <w:between w:val="nil"/>
        </w:pBdr>
        <w:spacing w:before="6"/>
        <w:ind w:right="29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 interdetto, un inabilitato o un amministrato di sostegno, copia del documento d’identità e copia del codice fiscale del soggetto offerente e del soggetto che </w:t>
      </w:r>
      <w:r>
        <w:rPr>
          <w:rFonts w:ascii="Times New Roman" w:eastAsia="Times New Roman" w:hAnsi="Times New Roman" w:cs="Times New Roman"/>
          <w:color w:val="000000"/>
          <w:sz w:val="24"/>
          <w:szCs w:val="24"/>
        </w:rPr>
        <w:lastRenderedPageBreak/>
        <w:t xml:space="preserve">sottoscrive l’offerta, nonché copia del provvedimento di nomina del sottoscrittore e dell’autorizzazione del giudice tutelare; </w:t>
      </w:r>
    </w:p>
    <w:p w14:paraId="3B18D7F7"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una società o persona giuridica, copia del documento (ad esempio, certificato del registro delle imprese) da cui risultino i poteri ovvero la procura o l’atto di nomina che giustifichi i poteri; </w:t>
      </w:r>
    </w:p>
    <w:p w14:paraId="4321F68C"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p>
    <w:p w14:paraId="08FC2E35" w14:textId="77777777" w:rsidR="00575CBE" w:rsidRDefault="00575CBE" w:rsidP="00575CBE">
      <w:pPr>
        <w:widowControl w:val="0"/>
        <w:pBdr>
          <w:top w:val="nil"/>
          <w:left w:val="nil"/>
          <w:bottom w:val="nil"/>
          <w:right w:val="nil"/>
          <w:between w:val="nil"/>
        </w:pBdr>
        <w:spacing w:before="6"/>
        <w:ind w:right="2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l’offerta è formulata da più persone, copia anche per immagine della procura rilasciata dagli altri offerenti per atto pubblico o scrittura privata autenticata in favore del: </w:t>
      </w:r>
    </w:p>
    <w:p w14:paraId="4D85567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presentatore;  </w:t>
      </w:r>
    </w:p>
    <w:p w14:paraId="0F52B0FB" w14:textId="77777777" w:rsidR="00575CBE" w:rsidRDefault="00575CBE" w:rsidP="00575CBE">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soggetto che sottoscrive l’offerta per la modalità cartacea. </w:t>
      </w:r>
    </w:p>
    <w:p w14:paraId="59EFAB10" w14:textId="069ED713"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altresì dichiarare l’eventuale volontà di avvalersi della procedura di mutuo in caso di aggiudicazione definitiva come previsto dall’art. 585 c.p.c. (e meglio sotto precisato). </w:t>
      </w:r>
    </w:p>
    <w:p w14:paraId="516E5027"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 Apertura delle buste ed eventuale gara tra gli offerenti </w:t>
      </w:r>
    </w:p>
    <w:p w14:paraId="1005BF63"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L’esame delle offerte e lo svolgimento dell’eventuale gara sarà effettuato presso lo Studio del Commissionario sito in Trento presso la Sala Aste in Via Fersina 12/A. </w:t>
      </w:r>
    </w:p>
    <w:p w14:paraId="478BFCED" w14:textId="77777777" w:rsidR="00497920" w:rsidRDefault="00497920" w:rsidP="00497920">
      <w:pPr>
        <w:widowControl w:val="0"/>
        <w:pBdr>
          <w:top w:val="nil"/>
          <w:left w:val="nil"/>
          <w:bottom w:val="nil"/>
          <w:right w:val="nil"/>
          <w:between w:val="nil"/>
        </w:pBdr>
        <w:spacing w:before="6"/>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Commissionario utilizzerà il portale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Le buste telematiche e cartacee contenenti le offerte verranno aperte dal Commissionario solo nella data ed all’orario dell’udienza di vendita, sopra indicati. </w:t>
      </w:r>
    </w:p>
    <w:p w14:paraId="57469C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degli offerenti all’udienza di vendita avrà luogo: </w:t>
      </w:r>
    </w:p>
    <w:p w14:paraId="27A88263"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telematico: esclusivamente tramite l’area riservata del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 </w:t>
      </w:r>
    </w:p>
    <w:p w14:paraId="0F590E6B" w14:textId="1A6B765D"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cartaceo: mediante presenza presso lo Studio del Commissionario sito in Trento, presso la Sala Aste in Via Fersina 12/A. </w:t>
      </w:r>
    </w:p>
    <w:p w14:paraId="668AE321" w14:textId="77777777" w:rsidR="00497920" w:rsidRDefault="00497920" w:rsidP="00497920">
      <w:pPr>
        <w:widowControl w:val="0"/>
        <w:pBdr>
          <w:top w:val="nil"/>
          <w:left w:val="nil"/>
          <w:bottom w:val="nil"/>
          <w:right w:val="nil"/>
          <w:between w:val="nil"/>
        </w:pBdr>
        <w:spacing w:before="282"/>
        <w:ind w:right="306" w:firstLin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Si precisa che </w:t>
      </w:r>
      <w:r>
        <w:rPr>
          <w:rFonts w:ascii="Times New Roman" w:eastAsia="Times New Roman" w:hAnsi="Times New Roman" w:cs="Times New Roman"/>
          <w:b/>
          <w:bCs/>
          <w:color w:val="000000"/>
          <w:sz w:val="24"/>
          <w:szCs w:val="24"/>
        </w:rPr>
        <w:t xml:space="preserve">anche nel caso di mancata connessione/presenza da parte dell’unico offerente, l’aggiudicazione potrà comunque essere disposta in suo favore. </w:t>
      </w:r>
    </w:p>
    <w:p w14:paraId="79385508" w14:textId="77777777" w:rsidR="00497920" w:rsidRDefault="00497920" w:rsidP="00497920">
      <w:pPr>
        <w:widowControl w:val="0"/>
        <w:pBdr>
          <w:top w:val="nil"/>
          <w:left w:val="nil"/>
          <w:bottom w:val="nil"/>
          <w:right w:val="nil"/>
          <w:between w:val="nil"/>
        </w:pBdr>
        <w:spacing w:before="6"/>
        <w:ind w:right="297"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Nell’ipotesi di presentazione di </w:t>
      </w:r>
      <w:r>
        <w:rPr>
          <w:rFonts w:ascii="Times New Roman" w:eastAsia="Times New Roman" w:hAnsi="Times New Roman" w:cs="Times New Roman"/>
          <w:b/>
          <w:bCs/>
          <w:color w:val="000000"/>
          <w:sz w:val="24"/>
          <w:szCs w:val="24"/>
        </w:rPr>
        <w:t xml:space="preserve">più offerte valide </w:t>
      </w:r>
      <w:r>
        <w:rPr>
          <w:rFonts w:ascii="Times New Roman" w:eastAsia="Times New Roman" w:hAnsi="Times New Roman" w:cs="Times New Roman"/>
          <w:color w:val="000000"/>
          <w:sz w:val="24"/>
          <w:szCs w:val="24"/>
        </w:rPr>
        <w:t xml:space="preserve">si procederà con gara tra gli offerenti mediante la piattaforma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sul prezzo offerto più alto (</w:t>
      </w:r>
      <w:r>
        <w:rPr>
          <w:rFonts w:ascii="Times New Roman" w:eastAsia="Times New Roman" w:hAnsi="Times New Roman" w:cs="Times New Roman"/>
          <w:color w:val="000000"/>
          <w:sz w:val="24"/>
          <w:szCs w:val="24"/>
          <w:u w:val="single"/>
        </w:rPr>
        <w:t>tanto</w:t>
      </w:r>
      <w:r>
        <w:rPr>
          <w:rFonts w:ascii="Times New Roman" w:eastAsia="Times New Roman" w:hAnsi="Times New Roman" w:cs="Times New Roman"/>
          <w:color w:val="000000"/>
          <w:sz w:val="24"/>
          <w:szCs w:val="24"/>
        </w:rPr>
        <w:t xml:space="preserve">, anche in presenza di due o più offerte di identico importo). </w:t>
      </w:r>
    </w:p>
    <w:p w14:paraId="01231144"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quindi, avrà inizio subito dopo l’apertura delle buste di offerte ed il vaglio di ammissibilità di tutte le offerte ricevute. </w:t>
      </w:r>
    </w:p>
    <w:p w14:paraId="395A0CD5"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 offerte giudicate regolari abiliteranno automaticamente l’offerente alla partecipazione alla gara. </w:t>
      </w:r>
    </w:p>
    <w:p w14:paraId="4EAB2AE2" w14:textId="3F47DCD1" w:rsidR="00497920" w:rsidRDefault="00497920" w:rsidP="00497920">
      <w:pPr>
        <w:widowControl w:val="0"/>
        <w:pBdr>
          <w:top w:val="nil"/>
          <w:left w:val="nil"/>
          <w:bottom w:val="nil"/>
          <w:right w:val="nil"/>
          <w:between w:val="nil"/>
        </w:pBdr>
        <w:spacing w:before="271"/>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Ogni rilancio durante la gara, dovrà essere non inferiore a euro </w:t>
      </w:r>
      <w:r w:rsidR="00954AA6">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 xml:space="preserve">.000,00; </w:t>
      </w:r>
      <w:r>
        <w:rPr>
          <w:rFonts w:ascii="Times New Roman" w:eastAsia="Times New Roman" w:hAnsi="Times New Roman" w:cs="Times New Roman"/>
          <w:color w:val="000000"/>
          <w:sz w:val="24"/>
          <w:szCs w:val="24"/>
        </w:rPr>
        <w:t xml:space="preserve">in caso di gara tra gli offerenti, aggiudicherà al maggior offerente (allorché siano trascorsi 180 secondi dall’ultima offerta senza che ne segua altra maggiore). </w:t>
      </w:r>
    </w:p>
    <w:p w14:paraId="17990DCD" w14:textId="77777777" w:rsidR="00497920" w:rsidRDefault="00497920" w:rsidP="00497920">
      <w:pPr>
        <w:widowControl w:val="0"/>
        <w:pBdr>
          <w:top w:val="nil"/>
          <w:left w:val="nil"/>
          <w:bottom w:val="nil"/>
          <w:right w:val="nil"/>
          <w:between w:val="nil"/>
        </w:pBdr>
        <w:spacing w:before="282"/>
        <w:ind w:right="24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Al termine della gara</w:t>
      </w:r>
      <w:r>
        <w:rPr>
          <w:rFonts w:ascii="Times New Roman" w:eastAsia="Times New Roman" w:hAnsi="Times New Roman" w:cs="Times New Roman"/>
          <w:color w:val="000000"/>
          <w:sz w:val="24"/>
          <w:szCs w:val="24"/>
        </w:rPr>
        <w:t xml:space="preserve">, comprensiva degli eventuali prolungamenti, il </w:t>
      </w:r>
      <w:r>
        <w:rPr>
          <w:rFonts w:ascii="Times New Roman" w:eastAsia="Times New Roman" w:hAnsi="Times New Roman" w:cs="Times New Roman"/>
          <w:b/>
          <w:bCs/>
          <w:color w:val="000000"/>
          <w:sz w:val="24"/>
          <w:szCs w:val="24"/>
        </w:rPr>
        <w:t>Commissionario procederà all’aggiudicazione</w:t>
      </w:r>
      <w:r>
        <w:rPr>
          <w:rFonts w:ascii="Times New Roman" w:eastAsia="Times New Roman" w:hAnsi="Times New Roman" w:cs="Times New Roman"/>
          <w:color w:val="000000"/>
          <w:sz w:val="24"/>
          <w:szCs w:val="24"/>
        </w:rPr>
        <w:t xml:space="preserve">, stilando apposito verbale. </w:t>
      </w:r>
    </w:p>
    <w:p w14:paraId="65B321F3" w14:textId="77777777" w:rsidR="00497920" w:rsidRDefault="00497920" w:rsidP="00497920">
      <w:pPr>
        <w:widowControl w:val="0"/>
        <w:pBdr>
          <w:top w:val="nil"/>
          <w:left w:val="nil"/>
          <w:bottom w:val="nil"/>
          <w:right w:val="nil"/>
          <w:between w:val="nil"/>
        </w:pBdr>
        <w:spacing w:before="282"/>
        <w:ind w:right="2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 caso in cui non vi siano state offerte in aumento in fase di gara (dimostrando così la mancata volontà di ogni offerente di aderire alla gara), l’aggiudicazione avverrà sulla scorta degli elementi </w:t>
      </w:r>
      <w:r>
        <w:rPr>
          <w:rFonts w:ascii="Times New Roman" w:eastAsia="Times New Roman" w:hAnsi="Times New Roman" w:cs="Times New Roman"/>
          <w:color w:val="000000"/>
          <w:sz w:val="24"/>
          <w:szCs w:val="24"/>
        </w:rPr>
        <w:lastRenderedPageBreak/>
        <w:t xml:space="preserve">di seguito elencati (in ordine di priorità): </w:t>
      </w:r>
    </w:p>
    <w:p w14:paraId="242A55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maggior importo del prezzo offerto; </w:t>
      </w:r>
    </w:p>
    <w:p w14:paraId="07106B0B"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di prezzo offerto, maggior importo della cauzione versata; </w:t>
      </w:r>
    </w:p>
    <w:p w14:paraId="2125CCF4" w14:textId="77777777"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cauzione prestata, minor termine indicato per il versamento del prezzo; </w:t>
      </w:r>
    </w:p>
    <w:p w14:paraId="1BE7443D" w14:textId="16ADB5D8"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termine per il versamento del prezzo, priorità temporale nel deposito dell’offerta. </w:t>
      </w:r>
    </w:p>
    <w:p w14:paraId="36DA1B2D" w14:textId="0FCE923E" w:rsidR="00B61599" w:rsidRPr="007F0A29" w:rsidRDefault="00497920" w:rsidP="007F0A29">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interessati all’acquisto possono visionare il compendio pignorato collegandosi al Portale delle Vendite e utilizzando l’apposito form di “richiesta prenotazione visita”. </w:t>
      </w:r>
    </w:p>
    <w:p w14:paraId="1E468AA9" w14:textId="1600C6DF"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 Trasferimento del bene </w:t>
      </w:r>
    </w:p>
    <w:p w14:paraId="1342359C" w14:textId="77777777" w:rsidR="00497920" w:rsidRDefault="00497920" w:rsidP="00497920">
      <w:pPr>
        <w:widowControl w:val="0"/>
        <w:pBdr>
          <w:top w:val="nil"/>
          <w:left w:val="nil"/>
          <w:bottom w:val="nil"/>
          <w:right w:val="nil"/>
          <w:between w:val="nil"/>
        </w:pBdr>
        <w:ind w:right="239"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Il trasferimento del lotto a favore dell’aggiudicatario avverrà mediante rogito notarile presso il </w:t>
      </w:r>
      <w:r>
        <w:rPr>
          <w:rFonts w:ascii="Times New Roman" w:eastAsia="Times New Roman" w:hAnsi="Times New Roman" w:cs="Times New Roman"/>
          <w:b/>
          <w:bCs/>
          <w:color w:val="000000"/>
          <w:sz w:val="24"/>
          <w:szCs w:val="24"/>
        </w:rPr>
        <w:t xml:space="preserve">Notaio Alfredo Dondi, in Piazza Silvio Pellico, 12 – 38122 (TN). </w:t>
      </w:r>
    </w:p>
    <w:p w14:paraId="6E0F6EB2" w14:textId="14741D86" w:rsidR="00497920" w:rsidRDefault="00497920" w:rsidP="00497920">
      <w:pPr>
        <w:widowControl w:val="0"/>
        <w:pBdr>
          <w:top w:val="nil"/>
          <w:left w:val="nil"/>
          <w:bottom w:val="nil"/>
          <w:right w:val="nil"/>
          <w:between w:val="nil"/>
        </w:pBdr>
        <w:spacing w:before="6"/>
        <w:ind w:right="23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L’aggiudicatario dovrà depositare mediante bonifico bancario sul conto corrente della procedura</w:t>
      </w:r>
      <w:r w:rsidR="00954AA6" w:rsidRPr="00954AA6">
        <w:rPr>
          <w:rFonts w:ascii="Times New Roman" w:eastAsia="Times New Roman" w:hAnsi="Times New Roman" w:cs="Times New Roman"/>
          <w:color w:val="000000"/>
          <w:sz w:val="24"/>
          <w:szCs w:val="24"/>
        </w:rPr>
        <w:t xml:space="preserve"> L.G. 31/2025 – XENA IMMOBILIARE SRL </w:t>
      </w:r>
      <w:r w:rsidR="00954AA6" w:rsidRPr="00954AA6">
        <w:rPr>
          <w:rFonts w:ascii="Times New Roman" w:eastAsia="Times New Roman" w:hAnsi="Times New Roman" w:cs="Times New Roman"/>
          <w:b/>
          <w:bCs/>
          <w:color w:val="000000"/>
          <w:sz w:val="24"/>
          <w:szCs w:val="24"/>
          <w:u w:val="single"/>
        </w:rPr>
        <w:t>IT 14M0830401833000033439659 Banca per il Trentino alto Adige</w:t>
      </w: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color w:val="000000"/>
          <w:sz w:val="24"/>
          <w:szCs w:val="24"/>
        </w:rPr>
        <w:t xml:space="preserve">il residuo prezzo (detratto l’importo già versato a titolo di cauzione), nel termine indicato nell’offerta nel termine </w:t>
      </w:r>
      <w:r>
        <w:rPr>
          <w:rFonts w:ascii="Times New Roman" w:eastAsia="Times New Roman" w:hAnsi="Times New Roman" w:cs="Times New Roman"/>
          <w:b/>
          <w:bCs/>
          <w:color w:val="000000"/>
          <w:sz w:val="24"/>
          <w:szCs w:val="24"/>
        </w:rPr>
        <w:t xml:space="preserve">di 90 giorni dall’aggiudicazione </w:t>
      </w:r>
      <w:r>
        <w:rPr>
          <w:rFonts w:ascii="Times New Roman" w:eastAsia="Times New Roman" w:hAnsi="Times New Roman" w:cs="Times New Roman"/>
          <w:color w:val="000000"/>
          <w:sz w:val="24"/>
          <w:szCs w:val="24"/>
        </w:rPr>
        <w:t xml:space="preserve">(termine non soggetto a sospensione feriale). </w:t>
      </w:r>
    </w:p>
    <w:p w14:paraId="61169860" w14:textId="77777777" w:rsidR="00497920" w:rsidRDefault="00497920" w:rsidP="00497920">
      <w:pPr>
        <w:widowControl w:val="0"/>
        <w:pBdr>
          <w:top w:val="nil"/>
          <w:left w:val="nil"/>
          <w:bottom w:val="nil"/>
          <w:right w:val="nil"/>
          <w:between w:val="nil"/>
        </w:pBdr>
        <w:spacing w:before="5"/>
        <w:ind w:right="2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vendita è soggetta alle imposte di registro, ipotecarie e catastali nella misura prevista dalla legge; tali oneri fiscali saranno a carico dell’aggiudicatario da depositarsi nello stesso termine e con le stesse modalità. </w:t>
      </w:r>
    </w:p>
    <w:p w14:paraId="3AE08280" w14:textId="77777777" w:rsidR="00497920" w:rsidRDefault="00497920" w:rsidP="00497920">
      <w:pPr>
        <w:widowControl w:val="0"/>
        <w:pBdr>
          <w:top w:val="nil"/>
          <w:left w:val="nil"/>
          <w:bottom w:val="nil"/>
          <w:right w:val="nil"/>
          <w:between w:val="nil"/>
        </w:pBdr>
        <w:spacing w:before="282"/>
        <w:ind w:right="241"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l’aggiudicatario intenderà, sussistendone i presupposti, beneficiare delle agevolazioni per la cd.  “prima casa” o di altre agevolazioni previste dalla legge, dovrà dichiararlo all’atto dell’aggiudicazione o mediante apposita dichiarazione scritta contenente l’attestazione della sussistenza dei requisiti di legge, da comunicare nei cinque giorni successivi. </w:t>
      </w:r>
    </w:p>
    <w:p w14:paraId="51FB4A5B" w14:textId="77777777" w:rsidR="00497920" w:rsidRDefault="00497920" w:rsidP="00497920">
      <w:pPr>
        <w:widowControl w:val="0"/>
        <w:pBdr>
          <w:top w:val="nil"/>
          <w:left w:val="nil"/>
          <w:bottom w:val="nil"/>
          <w:right w:val="nil"/>
          <w:between w:val="nil"/>
        </w:pBdr>
        <w:spacing w:before="6"/>
        <w:ind w:right="243"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rifiuto o inadempimento dell’obbligo di versare quanto sopra, nel termine indicato di 60 giorni, da parte dell’aggiudicatario o del terzo dallo stesso nominato, l’aggiudicazione si intenderà revocata automaticamente e la cauzione a corredo dell’offerta sarà trattenuta dalla procedura a titolo di penale per l’inadempimento, salvo il risarcimento del maggior danno. In tale caso, il Commissionario potrà, a suo insindacabile giudizio, indire un nuovo esperimento di vendita ovvero dar luogo all'aggiudicazione a favore del soggetto che abbia presentato la seconda offerta di importo più elevato rispetto a quella formulata dall'aggiudicatario decaduto. </w:t>
      </w:r>
    </w:p>
    <w:p w14:paraId="30606771" w14:textId="77777777" w:rsidR="00497920" w:rsidRDefault="00497920" w:rsidP="00497920">
      <w:pPr>
        <w:widowControl w:val="0"/>
        <w:pBdr>
          <w:top w:val="nil"/>
          <w:left w:val="nil"/>
          <w:bottom w:val="nil"/>
          <w:right w:val="nil"/>
          <w:between w:val="nil"/>
        </w:pBdr>
        <w:spacing w:before="5"/>
        <w:ind w:right="240"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L’aggiudicatario sarà immesso nel possesso dei beni a cura del Commissionario, salvo che venga esentato dall’aggiudicatario. Da quel momento saranno a carico dell’acquirente tutti gli oneri relativi ai detti beni, compresi quelli relativi alla vigilanza, alle utenze, imposte e tasse, e ogni altro onere di pertinenza. </w:t>
      </w:r>
    </w:p>
    <w:p w14:paraId="7D6D207B"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 Principali condizioni della vendita</w:t>
      </w:r>
    </w:p>
    <w:p w14:paraId="50FAB7C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indicano di seguito, a titolo non esaustivo e con riserva di eventuali modifiche e/o integrazioni, le principali condizioni contrattuali della vendita immobiliare che sarà conclusa con l’aggiudicatario: </w:t>
      </w: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la vendita avviene nello stato di fatto e di diritto in cui l’immobile si trova, come dettagliatamente descritto nella perizia redatta dall’esperto stimatore dell’esecuzione di cui in premessa, con tutte le eventuali pertinenze, accessori, ragioni ed azioni, servitù attive e passive; la vendita è a corpo e non a misura; eventuali differenze di misura non potranno dar luogo ad alcun </w:t>
      </w:r>
      <w:r>
        <w:rPr>
          <w:rFonts w:ascii="Times New Roman" w:eastAsia="Times New Roman" w:hAnsi="Times New Roman" w:cs="Times New Roman"/>
          <w:color w:val="000000"/>
          <w:sz w:val="24"/>
          <w:szCs w:val="24"/>
        </w:rPr>
        <w:lastRenderedPageBreak/>
        <w:t xml:space="preserve">risarcimento, indennità o riduzione di prezzo; </w:t>
      </w:r>
    </w:p>
    <w:p w14:paraId="486EB32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iscrizioni e trascrizioni pregiudizievoli gravanti sull’immobile saranno cancellate tempestivamente dopo l’emissione del decreto di trasferimento, a cura e spese della procedura (v.  infra al punto successivo); </w:t>
      </w:r>
    </w:p>
    <w:p w14:paraId="0BE1014B"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l’esistenza di eventuali vizi, difetti, mancanza di qualità o difformità dell’immobile venduto, oneri  di qualsiasi genere (ivi compresi, ad esempio, quelli urbanistici ovvero derivanti dalla eventuale  necessità di adeguamento di impianti alle leggi vigenti, le spese condominiali dell’anno in corso e  dell’anno precedente non pagate dal debitore) per qualsiasi motivo non considerati, anche se  occulti e comunque non evidenziati nella perizia di cui sopra o emersi dopo la compravendita, non  potranno dar luogo ad alcun risarcimento anche in deroga all’art. 1494 c.c., indennità o riduzione  del prezzo, essendosi di ciò tenuto conto nell'elaborazione del prezzo a base d'asta, e in relazione  agli stessi l’acquirente rinuncia a qualsiasi azione risolutoria, risarcitoria e/o indennitaria nei  confronti del fallimento; </w:t>
      </w:r>
    </w:p>
    <w:p w14:paraId="1A5F0E85" w14:textId="5DC28E7C"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adeguamenti degli immobili e dei suoi impianti alle norme in materia di tutela ecologica,  ambientale, energetica nonché, in generale, alle disposizioni di legge vigenti, sono a carico  esclusivo dell’acquirente; sarà inoltre onere dell’acquirente, a propria cura e spese, la dotazione  della certificazione tecnico/amministrativa prevista dalle vigenti normative, dispensando  espressamente la procedura fallimentare della produzione ed allegazione (es. attestato prestazione  energetica, conformità impianti). Si ricorda che l’attestato di prestazione energetica, qualora mancante, sarà a totale carico dell’aggiudicatario il quale dovrà produrlo e depositarlo al Commissionario IVG entro il termine perentorio stabilito per il saldo prezzo. </w:t>
      </w:r>
    </w:p>
    <w:p w14:paraId="4BBCC8E0" w14:textId="77777777" w:rsidR="00497920" w:rsidRDefault="00497920" w:rsidP="00497920">
      <w:pPr>
        <w:widowControl w:val="0"/>
        <w:pBdr>
          <w:top w:val="nil"/>
          <w:left w:val="nil"/>
          <w:bottom w:val="nil"/>
          <w:right w:val="nil"/>
          <w:between w:val="nil"/>
        </w:pBdr>
        <w:spacing w:before="6"/>
        <w:ind w:right="243"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Sono a esclusivo carico dell’acquirente tutte le spese, gli oneri fiscali ed i tributi occorrenti per perfezionare il trasferimento del bene oggetto della presente vendita (I.V.A., imposta di registrazione, costi di trascrizione e quant’altro occorrente), mente le spese per la cancellazione delle formalità pregiudizievoli esistenti saranno a carico della procedura. </w:t>
      </w:r>
    </w:p>
    <w:p w14:paraId="24731AEF" w14:textId="51FB5058"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 Avvertimenti e disposizioni generali </w:t>
      </w:r>
    </w:p>
    <w:p w14:paraId="6EDD0954" w14:textId="77777777" w:rsidR="00497920" w:rsidRDefault="00497920" w:rsidP="00497920">
      <w:pPr>
        <w:widowControl w:val="0"/>
        <w:pBdr>
          <w:top w:val="nil"/>
          <w:left w:val="nil"/>
          <w:bottom w:val="nil"/>
          <w:right w:val="nil"/>
          <w:between w:val="nil"/>
        </w:pBdr>
        <w:ind w:right="241"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avvertono gli offerenti che, la cancellazione delle iscrizioni relative ai diritti di prelazione, nonché delle trascrizioni dei pignoramenti e dei sequestri conservativi e di ogni altro vincolo sull’immobile sarà ordinata dal giudice “una volta eseguita la vendita e riscosso interamente il prezzo”. Si precisa altresì che il presente avviso di vendita, corredato dal disciplinare di gara e dalle condizioni generali di vendita sarà comunicato a ciascuno dei creditori ipotecari o comunque munito di privilegio, risultante dai pubblici registri, nonché agli eventuali conduttori con contratto opponibile alla procedura, almeno 30 giorni prima della vendita. </w:t>
      </w:r>
    </w:p>
    <w:p w14:paraId="30BBD8CC" w14:textId="77777777" w:rsidR="00497920" w:rsidRDefault="00497920" w:rsidP="00497920">
      <w:pPr>
        <w:widowControl w:val="0"/>
        <w:pBdr>
          <w:top w:val="nil"/>
          <w:left w:val="nil"/>
          <w:bottom w:val="nil"/>
          <w:right w:val="nil"/>
          <w:between w:val="nil"/>
        </w:pBdr>
        <w:spacing w:before="6"/>
        <w:ind w:right="242"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dell’art. 46 comma 5 d.p.r. 380/2001 l'aggiudicatario, qualora l'immobile si trovi nelle condizioni previste per il rilascio del permesso di costruire in sanatoria (cfr. anche art. 40/6 capo IV della legge 28 febbraio 1985 n. 47), dovrà presentare domanda di permesso in sanatoria entro centoventi giorni dalla vendita. </w:t>
      </w:r>
    </w:p>
    <w:p w14:paraId="3178D88F" w14:textId="77777777" w:rsidR="00497920" w:rsidRDefault="00497920" w:rsidP="00497920">
      <w:pPr>
        <w:widowControl w:val="0"/>
        <w:pBdr>
          <w:top w:val="nil"/>
          <w:left w:val="nil"/>
          <w:bottom w:val="nil"/>
          <w:right w:val="nil"/>
          <w:between w:val="nil"/>
        </w:pBdr>
        <w:spacing w:before="5"/>
        <w:ind w:right="245"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Grava su ciascun partecipante alla gara di vendita l’onere di prendere preventiva, integrale ed accurata visione del presente avviso di vendita, della perizia di stima del disciplinare di gara, del modello di presentazione delle offerte, nonché delle condizioni generali di vendita. </w:t>
      </w:r>
    </w:p>
    <w:p w14:paraId="0418C69C" w14:textId="77777777" w:rsidR="00497920" w:rsidRDefault="00497920" w:rsidP="00497920">
      <w:pPr>
        <w:widowControl w:val="0"/>
        <w:pBdr>
          <w:top w:val="nil"/>
          <w:left w:val="nil"/>
          <w:bottom w:val="nil"/>
          <w:right w:val="nil"/>
          <w:between w:val="nil"/>
        </w:pBdr>
        <w:spacing w:before="6"/>
        <w:ind w:right="241"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precisa che la liquidazione del complesso immobiliare è da intendersi effettuata alla condizione “visto e piaciuto nello stato di fatto in cui si trova” e l’aggiudicatario non potrà muovere obiezione alcuna sui beni acquistati, successivamente all’aggiudicazione. Gli organi della procedura </w:t>
      </w:r>
      <w:r>
        <w:rPr>
          <w:rFonts w:ascii="Times New Roman" w:eastAsia="Times New Roman" w:hAnsi="Times New Roman" w:cs="Times New Roman"/>
          <w:color w:val="000000"/>
          <w:sz w:val="24"/>
          <w:szCs w:val="24"/>
        </w:rPr>
        <w:lastRenderedPageBreak/>
        <w:t xml:space="preserve">concorsuale si riservano, a proprio insindacabile giudizio e senza obbligo di motivazione, di poter </w:t>
      </w:r>
    </w:p>
    <w:p w14:paraId="45880E49" w14:textId="77777777" w:rsidR="00497920" w:rsidRDefault="00497920" w:rsidP="00497920">
      <w:pPr>
        <w:widowControl w:val="0"/>
        <w:pBdr>
          <w:top w:val="nil"/>
          <w:left w:val="nil"/>
          <w:bottom w:val="nil"/>
          <w:right w:val="nil"/>
          <w:between w:val="nil"/>
        </w:pBdr>
        <w:ind w:right="245"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sospendere ovvero interrompere definitivamente la procedura di aggiudicazione in qualsiasi momento. Quindi, nel caso in cui, per qualsiasi motivo, non sia possibile effettuare l’aggiudicazione definitiva, nessun tipo di risarcimento o spesa verrà riconosciuto agli offerenti. </w:t>
      </w:r>
    </w:p>
    <w:p w14:paraId="0F98E887" w14:textId="77777777"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7 - Foro competente </w:t>
      </w:r>
    </w:p>
    <w:p w14:paraId="781D4CFE"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alla vendita implica: </w:t>
      </w:r>
    </w:p>
    <w:p w14:paraId="171FB731"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lettura integrale della relazione peritale e dei relativi allegati; </w:t>
      </w:r>
    </w:p>
    <w:p w14:paraId="36C3A3A6"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l’accettazione incondizionata di quanto contenuto nel presente avviso;  </w:t>
      </w:r>
    </w:p>
    <w:p w14:paraId="11415B8E" w14:textId="126CB697" w:rsidR="00B61599" w:rsidRPr="00B61599" w:rsidRDefault="00497920" w:rsidP="00B61599">
      <w:pPr>
        <w:widowControl w:val="0"/>
        <w:pBdr>
          <w:top w:val="nil"/>
          <w:left w:val="nil"/>
          <w:bottom w:val="nil"/>
          <w:right w:val="nil"/>
          <w:between w:val="nil"/>
        </w:pBdr>
        <w:ind w:right="2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ogni e qualsiasi controversia relativa al presente avviso di vendita corredato dal disciplinare di gara e dalle condizioni generali di vendita, alla sua interpretazione, esecuzione, validità o efficacia, nonché per ogni altra controversia comunque connessa al medesimo e/o alla presente procedura competitiva sarà competente in via esclusiva il foro di Trento.</w:t>
      </w:r>
    </w:p>
    <w:p w14:paraId="1D468AC3" w14:textId="4E6B9BB5"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8 - Pubblicazione e pubblicità </w:t>
      </w:r>
    </w:p>
    <w:p w14:paraId="30348A33" w14:textId="77777777"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pubblicità sarà effettuata a norma dell'art. 490 del c.p.c. secondo le modalità: - pubblicazione dell'ordinanza e dell’avviso di vendita, sul portale delle vendite pubbliche del Ministero della Giustizia; </w:t>
      </w:r>
    </w:p>
    <w:p w14:paraId="3BA5484F" w14:textId="0B5753BF"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 xml:space="preserve">sito abilitato alla pubblicazione degli avvisi ex art. 490 co.2 c.p.c. </w:t>
      </w:r>
    </w:p>
    <w:p w14:paraId="628B911E"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www.tribunale.trento.giustizia.it </w:t>
      </w:r>
    </w:p>
    <w:p w14:paraId="3EB2A0C6" w14:textId="1362002D" w:rsidR="00497920" w:rsidRPr="00B61599" w:rsidRDefault="00497920" w:rsidP="00B61599">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w:t>
      </w:r>
      <w:r w:rsidR="003F7604">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sui siti </w:t>
      </w:r>
      <w:r>
        <w:rPr>
          <w:rFonts w:ascii="Times New Roman" w:eastAsia="Times New Roman" w:hAnsi="Times New Roman" w:cs="Times New Roman"/>
          <w:color w:val="0563C1"/>
          <w:sz w:val="24"/>
          <w:szCs w:val="24"/>
          <w:u w:val="single"/>
        </w:rPr>
        <w:t>www.astalegale.net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www.portaleaste.com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 xml:space="preserve">www.asteimmobili.it </w:t>
      </w:r>
      <w:r>
        <w:rPr>
          <w:rFonts w:ascii="Times New Roman" w:eastAsia="Times New Roman" w:hAnsi="Times New Roman" w:cs="Times New Roman"/>
          <w:color w:val="000000"/>
          <w:sz w:val="24"/>
          <w:szCs w:val="24"/>
        </w:rPr>
        <w:t>e www.publicomonline.it</w:t>
      </w:r>
      <w:r>
        <w:rPr>
          <w:rFonts w:ascii="Times New Roman" w:eastAsia="Times New Roman" w:hAnsi="Times New Roman" w:cs="Times New Roman"/>
          <w:color w:val="0563C1"/>
          <w:sz w:val="24"/>
          <w:szCs w:val="24"/>
          <w:u w:val="single"/>
        </w:rPr>
        <w:t>.</w:t>
      </w:r>
      <w:r>
        <w:rPr>
          <w:rFonts w:ascii="Times New Roman" w:eastAsia="Times New Roman" w:hAnsi="Times New Roman" w:cs="Times New Roman"/>
          <w:color w:val="000000"/>
          <w:sz w:val="24"/>
          <w:szCs w:val="24"/>
        </w:rPr>
        <w:t xml:space="preserve"> </w:t>
      </w:r>
    </w:p>
    <w:p w14:paraId="20EAE417" w14:textId="3F732080"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presente avviso di vendita non costituisce offerta al pubblico ai sensi dell’art. 1336 c.c. Il trattamento dei dati personali comunicati dagli offerenti si svolgerà in conformità alle disposizioni del Regolamento (UE) 2016/679. </w:t>
      </w:r>
    </w:p>
    <w:p w14:paraId="40842D3A"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2928ECEA" w14:textId="77777777" w:rsidR="00497920" w:rsidRDefault="00497920" w:rsidP="00497920">
      <w:pPr>
        <w:widowControl w:val="0"/>
        <w:pBdr>
          <w:top w:val="nil"/>
          <w:left w:val="nil"/>
          <w:bottom w:val="nil"/>
          <w:right w:val="nil"/>
          <w:between w:val="nil"/>
        </w:pBdr>
        <w:spacing w:before="282" w:line="229" w:lineRule="auto"/>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Trento, lì 09 Ottobre 2026 </w:t>
      </w:r>
    </w:p>
    <w:p w14:paraId="221590E5" w14:textId="77777777" w:rsidR="00497920" w:rsidRDefault="00497920" w:rsidP="00497920">
      <w:pPr>
        <w:widowControl w:val="0"/>
        <w:pBdr>
          <w:top w:val="nil"/>
          <w:left w:val="nil"/>
          <w:bottom w:val="nil"/>
          <w:right w:val="nil"/>
          <w:between w:val="nil"/>
        </w:pBdr>
        <w:spacing w:before="548" w:line="240" w:lineRule="auto"/>
        <w:ind w:left="2124" w:right="129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Commissionario IVG</w:t>
      </w:r>
    </w:p>
    <w:p w14:paraId="72D5C674"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6FD0BFA0" w14:textId="77777777"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p>
    <w:p w14:paraId="5ADFAB83" w14:textId="77777777"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01F90A1E" w14:textId="77777777" w:rsidR="00240ECC"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5D7E94C1"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p>
    <w:p w14:paraId="644446E7" w14:textId="77777777" w:rsidR="002963BE" w:rsidRDefault="002963BE" w:rsidP="009E0FC6">
      <w:pPr>
        <w:autoSpaceDE w:val="0"/>
        <w:autoSpaceDN w:val="0"/>
        <w:adjustRightInd w:val="0"/>
        <w:jc w:val="both"/>
        <w:rPr>
          <w:rFonts w:ascii="Times New Roman" w:hAnsi="Times New Roman" w:cs="Times New Roman"/>
          <w:sz w:val="24"/>
          <w:szCs w:val="24"/>
        </w:rPr>
      </w:pPr>
    </w:p>
    <w:p w14:paraId="35593B36" w14:textId="77777777" w:rsidR="00E531D8" w:rsidRDefault="00E531D8" w:rsidP="009E0FC6">
      <w:pPr>
        <w:autoSpaceDE w:val="0"/>
        <w:autoSpaceDN w:val="0"/>
        <w:adjustRightInd w:val="0"/>
        <w:jc w:val="both"/>
        <w:rPr>
          <w:rFonts w:ascii="Times New Roman" w:hAnsi="Times New Roman" w:cs="Times New Roman"/>
          <w:sz w:val="24"/>
          <w:szCs w:val="24"/>
        </w:rPr>
      </w:pPr>
    </w:p>
    <w:p w14:paraId="0CC98610" w14:textId="77777777" w:rsidR="00E531D8" w:rsidRDefault="00E531D8" w:rsidP="009E0FC6">
      <w:pPr>
        <w:widowControl w:val="0"/>
        <w:pBdr>
          <w:top w:val="nil"/>
          <w:left w:val="nil"/>
          <w:bottom w:val="nil"/>
          <w:right w:val="nil"/>
          <w:between w:val="nil"/>
        </w:pBdr>
        <w:spacing w:before="192"/>
        <w:ind w:right="4027"/>
        <w:jc w:val="both"/>
        <w:rPr>
          <w:rFonts w:ascii="Times New Roman" w:eastAsia="Times New Roman" w:hAnsi="Times New Roman" w:cs="Times New Roman"/>
          <w:b/>
          <w:bCs/>
          <w:color w:val="000000"/>
          <w:sz w:val="24"/>
          <w:szCs w:val="24"/>
        </w:rPr>
      </w:pPr>
    </w:p>
    <w:p w14:paraId="081F81F6" w14:textId="77777777" w:rsidR="00B91EFE" w:rsidRDefault="00B91EFE" w:rsidP="009E0FC6">
      <w:pPr>
        <w:jc w:val="both"/>
      </w:pPr>
    </w:p>
    <w:sectPr w:rsidR="00B91EFE">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16E96" w14:textId="77777777" w:rsidR="007C5F0C" w:rsidRDefault="007C5F0C" w:rsidP="00E531D8">
      <w:pPr>
        <w:spacing w:line="240" w:lineRule="auto"/>
      </w:pPr>
      <w:r>
        <w:separator/>
      </w:r>
    </w:p>
  </w:endnote>
  <w:endnote w:type="continuationSeparator" w:id="0">
    <w:p w14:paraId="3299A763" w14:textId="77777777" w:rsidR="007C5F0C" w:rsidRDefault="007C5F0C" w:rsidP="00E53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685807"/>
      <w:docPartObj>
        <w:docPartGallery w:val="Page Numbers (Bottom of Page)"/>
        <w:docPartUnique/>
      </w:docPartObj>
    </w:sdtPr>
    <w:sdtContent>
      <w:p w14:paraId="5CC113E9" w14:textId="21A5DDE3" w:rsidR="00E531D8" w:rsidRDefault="00E531D8">
        <w:pPr>
          <w:pStyle w:val="Pidipagina"/>
          <w:jc w:val="center"/>
        </w:pPr>
        <w:r>
          <w:fldChar w:fldCharType="begin"/>
        </w:r>
        <w:r>
          <w:instrText>PAGE   \* MERGEFORMAT</w:instrText>
        </w:r>
        <w:r>
          <w:fldChar w:fldCharType="separate"/>
        </w:r>
        <w:r>
          <w:t>2</w:t>
        </w:r>
        <w:r>
          <w:fldChar w:fldCharType="end"/>
        </w:r>
      </w:p>
    </w:sdtContent>
  </w:sdt>
  <w:p w14:paraId="43720267" w14:textId="77777777" w:rsidR="00E531D8" w:rsidRDefault="00E531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9E10D" w14:textId="77777777" w:rsidR="007C5F0C" w:rsidRDefault="007C5F0C" w:rsidP="00E531D8">
      <w:pPr>
        <w:spacing w:line="240" w:lineRule="auto"/>
      </w:pPr>
      <w:r>
        <w:separator/>
      </w:r>
    </w:p>
  </w:footnote>
  <w:footnote w:type="continuationSeparator" w:id="0">
    <w:p w14:paraId="33CAD1C8" w14:textId="77777777" w:rsidR="007C5F0C" w:rsidRDefault="007C5F0C" w:rsidP="00E531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2"/>
    <w:rsid w:val="0005350C"/>
    <w:rsid w:val="00072730"/>
    <w:rsid w:val="000F1069"/>
    <w:rsid w:val="00123428"/>
    <w:rsid w:val="001A196B"/>
    <w:rsid w:val="002040B1"/>
    <w:rsid w:val="002350FD"/>
    <w:rsid w:val="00240ECC"/>
    <w:rsid w:val="002963BE"/>
    <w:rsid w:val="002C7A2F"/>
    <w:rsid w:val="003A144E"/>
    <w:rsid w:val="003C2AA7"/>
    <w:rsid w:val="003D20F2"/>
    <w:rsid w:val="003D41E8"/>
    <w:rsid w:val="003F7604"/>
    <w:rsid w:val="003F7D01"/>
    <w:rsid w:val="0041737B"/>
    <w:rsid w:val="00432711"/>
    <w:rsid w:val="00497920"/>
    <w:rsid w:val="004C3DBD"/>
    <w:rsid w:val="004E36D2"/>
    <w:rsid w:val="00513B62"/>
    <w:rsid w:val="00575CBE"/>
    <w:rsid w:val="005868F8"/>
    <w:rsid w:val="005A1994"/>
    <w:rsid w:val="005B1DF5"/>
    <w:rsid w:val="005B5654"/>
    <w:rsid w:val="005F73B5"/>
    <w:rsid w:val="006920C9"/>
    <w:rsid w:val="006E53DE"/>
    <w:rsid w:val="006F4B6C"/>
    <w:rsid w:val="00761FBA"/>
    <w:rsid w:val="00787E31"/>
    <w:rsid w:val="007943AC"/>
    <w:rsid w:val="007C5F0C"/>
    <w:rsid w:val="007F0A29"/>
    <w:rsid w:val="00854771"/>
    <w:rsid w:val="00876231"/>
    <w:rsid w:val="00887A19"/>
    <w:rsid w:val="008B2FB2"/>
    <w:rsid w:val="009238D7"/>
    <w:rsid w:val="00954AA6"/>
    <w:rsid w:val="00956D73"/>
    <w:rsid w:val="009708D1"/>
    <w:rsid w:val="009E0FC6"/>
    <w:rsid w:val="00A05485"/>
    <w:rsid w:val="00A815D5"/>
    <w:rsid w:val="00AB6F1D"/>
    <w:rsid w:val="00AB737C"/>
    <w:rsid w:val="00AF2A1D"/>
    <w:rsid w:val="00B61599"/>
    <w:rsid w:val="00B62F91"/>
    <w:rsid w:val="00B74F11"/>
    <w:rsid w:val="00B91EFE"/>
    <w:rsid w:val="00C26C8C"/>
    <w:rsid w:val="00C7562C"/>
    <w:rsid w:val="00D75426"/>
    <w:rsid w:val="00D85B75"/>
    <w:rsid w:val="00DE529D"/>
    <w:rsid w:val="00E238CA"/>
    <w:rsid w:val="00E531D8"/>
    <w:rsid w:val="00EF0906"/>
    <w:rsid w:val="00F502D0"/>
    <w:rsid w:val="00FB29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BDE6"/>
  <w15:chartTrackingRefBased/>
  <w15:docId w15:val="{04C5344A-734B-4A05-A616-8DECCC1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1EFE"/>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513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13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13B6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13B6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13B6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13B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3B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3B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3B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uiPriority w:val="99"/>
    <w:semiHidden/>
    <w:unhideWhenUsed/>
    <w:rsid w:val="005B5654"/>
    <w:pPr>
      <w:framePr w:w="7920" w:h="1980" w:hRule="exact" w:hSpace="141" w:wrap="auto" w:hAnchor="page" w:xAlign="center" w:yAlign="bottom"/>
      <w:spacing w:line="240" w:lineRule="auto"/>
      <w:ind w:left="2880"/>
    </w:pPr>
    <w:rPr>
      <w:rFonts w:eastAsiaTheme="majorEastAsia" w:cstheme="majorBidi"/>
      <w:sz w:val="24"/>
      <w:szCs w:val="24"/>
    </w:rPr>
  </w:style>
  <w:style w:type="character" w:customStyle="1" w:styleId="Titolo1Carattere">
    <w:name w:val="Titolo 1 Carattere"/>
    <w:basedOn w:val="Carpredefinitoparagrafo"/>
    <w:link w:val="Titolo1"/>
    <w:uiPriority w:val="9"/>
    <w:rsid w:val="00513B6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13B6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13B6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13B6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13B6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13B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3B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3B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3B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3B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3B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3B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3B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3B62"/>
    <w:rPr>
      <w:i/>
      <w:iCs/>
      <w:color w:val="404040" w:themeColor="text1" w:themeTint="BF"/>
    </w:rPr>
  </w:style>
  <w:style w:type="paragraph" w:styleId="Paragrafoelenco">
    <w:name w:val="List Paragraph"/>
    <w:basedOn w:val="Normale"/>
    <w:uiPriority w:val="34"/>
    <w:qFormat/>
    <w:rsid w:val="00513B62"/>
    <w:pPr>
      <w:ind w:left="720"/>
      <w:contextualSpacing/>
    </w:pPr>
  </w:style>
  <w:style w:type="character" w:styleId="Enfasiintensa">
    <w:name w:val="Intense Emphasis"/>
    <w:basedOn w:val="Carpredefinitoparagrafo"/>
    <w:uiPriority w:val="21"/>
    <w:qFormat/>
    <w:rsid w:val="00513B62"/>
    <w:rPr>
      <w:i/>
      <w:iCs/>
      <w:color w:val="2F5496" w:themeColor="accent1" w:themeShade="BF"/>
    </w:rPr>
  </w:style>
  <w:style w:type="paragraph" w:styleId="Citazioneintensa">
    <w:name w:val="Intense Quote"/>
    <w:basedOn w:val="Normale"/>
    <w:next w:val="Normale"/>
    <w:link w:val="CitazioneintensaCarattere"/>
    <w:uiPriority w:val="30"/>
    <w:qFormat/>
    <w:rsid w:val="00513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13B62"/>
    <w:rPr>
      <w:i/>
      <w:iCs/>
      <w:color w:val="2F5496" w:themeColor="accent1" w:themeShade="BF"/>
    </w:rPr>
  </w:style>
  <w:style w:type="character" w:styleId="Riferimentointenso">
    <w:name w:val="Intense Reference"/>
    <w:basedOn w:val="Carpredefinitoparagrafo"/>
    <w:uiPriority w:val="32"/>
    <w:qFormat/>
    <w:rsid w:val="00513B62"/>
    <w:rPr>
      <w:b/>
      <w:bCs/>
      <w:smallCaps/>
      <w:color w:val="2F5496" w:themeColor="accent1" w:themeShade="BF"/>
      <w:spacing w:val="5"/>
    </w:rPr>
  </w:style>
  <w:style w:type="character" w:styleId="Collegamentoipertestuale">
    <w:name w:val="Hyperlink"/>
    <w:basedOn w:val="Carpredefinitoparagrafo"/>
    <w:uiPriority w:val="99"/>
    <w:unhideWhenUsed/>
    <w:rsid w:val="00B91EFE"/>
    <w:rPr>
      <w:color w:val="0563C1" w:themeColor="hyperlink"/>
      <w:u w:val="single"/>
    </w:rPr>
  </w:style>
  <w:style w:type="character" w:styleId="Menzionenonrisolta">
    <w:name w:val="Unresolved Mention"/>
    <w:basedOn w:val="Carpredefinitoparagrafo"/>
    <w:uiPriority w:val="99"/>
    <w:semiHidden/>
    <w:unhideWhenUsed/>
    <w:rsid w:val="00B91EFE"/>
    <w:rPr>
      <w:color w:val="605E5C"/>
      <w:shd w:val="clear" w:color="auto" w:fill="E1DFDD"/>
    </w:rPr>
  </w:style>
  <w:style w:type="paragraph" w:styleId="Intestazione">
    <w:name w:val="header"/>
    <w:basedOn w:val="Normale"/>
    <w:link w:val="IntestazioneCarattere"/>
    <w:uiPriority w:val="99"/>
    <w:unhideWhenUsed/>
    <w:rsid w:val="00E531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531D8"/>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E531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531D8"/>
    <w:rPr>
      <w:rFonts w:ascii="Arial" w:eastAsia="Arial"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gtrento@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3723</Words>
  <Characters>21226</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User2</cp:lastModifiedBy>
  <cp:revision>7</cp:revision>
  <dcterms:created xsi:type="dcterms:W3CDTF">2026-10-17T12:03:00Z</dcterms:created>
  <dcterms:modified xsi:type="dcterms:W3CDTF">2026-11-02T14:58:00Z</dcterms:modified>
</cp:coreProperties>
</file>